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261-1_4seq1.xml.htm"/>
      <w:bookmarkStart w:id="1" w:name="kstm262326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Cheung Andy Yiu Leung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4F, BUILDING C14, NO. 218 XINGHU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SUZHOU JIANGSU</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215123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Adagene Inc.</w:t>
              </w:r>
            </w:hyperlink>
            <w:r>
              <w:rPr/>
              <w:t xml:space="preserve"> [ </w:t>
            </w:r>
            <w:r>
              <w:rPr>
                <w:rFonts w:ascii="Times;serif" w:hAnsi="Times;serif"/>
                <w:color w:val="0000FF"/>
                <w:sz w:val="24"/>
                <w:shd w:fill="FFFFFF" w:val="clear"/>
              </w:rPr>
              <w:t>ADAG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1235"/>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20,000 shares of stock option granted on August 13, 2026 under the Adagene Inc. 2021 Performance Incentive Plan, and the option shall vest on April 30, 2027 or the date of the next 20-F filing, whichever is earlier.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Yiu Leung Cheung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0863" TargetMode="External"/><Relationship Id="rId5" Type="http://schemas.openxmlformats.org/officeDocument/2006/relationships/hyperlink" Target="http://www.sec.gov/cgi-bin/browse-edgar?action=getcompany&amp;CIK=0001818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3304</Characters>
  <CharactersWithSpaces>3848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