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61-3_4seq1.xml.htm"/>
      <w:bookmarkStart w:id="1" w:name="kstm2623261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Zhu 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4F, BUILDING C14, NO. 218 XINGHU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SUZHOU JIANGSU</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215123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Adagene Inc.</w:t>
              </w:r>
            </w:hyperlink>
            <w:r>
              <w:rPr/>
              <w:t xml:space="preserve"> [ </w:t>
            </w:r>
            <w:r>
              <w:rPr>
                <w:rFonts w:ascii="Times;serif" w:hAnsi="Times;serif"/>
                <w:color w:val="0000FF"/>
                <w:sz w:val="24"/>
                <w:shd w:fill="FFFFFF" w:val="clear"/>
              </w:rPr>
              <w:t>ADAG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1235"/>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20,000 shares of stock option granted on August 13, 2026 under the Adagene Inc. 2021 Performance Incentive Plan, and the option shall vest on April 30, 2027 or the date of the next 20-F filing, whichever is earlier.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 Zhu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4427" TargetMode="External"/><Relationship Id="rId5" Type="http://schemas.openxmlformats.org/officeDocument/2006/relationships/hyperlink" Target="http://www.sec.gov/cgi-bin/browse-edgar?action=getcompany&amp;CIK=0001818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3278</Characters>
  <CharactersWithSpaces>3818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