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406-1_4seq1.xml.htm"/>
      <w:bookmarkStart w:id="1" w:name="kstm2622406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Luo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18855 NUTMEG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MORGAN HILL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Adagene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ADAG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1"/>
        <w:gridCol w:w="901"/>
        <w:gridCol w:w="772"/>
        <w:gridCol w:w="598"/>
        <w:gridCol w:w="342"/>
        <w:gridCol w:w="913"/>
        <w:gridCol w:w="437"/>
        <w:gridCol w:w="878"/>
        <w:gridCol w:w="1166"/>
        <w:gridCol w:w="975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(ADS)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22,966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3.6465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67,966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(ADS)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3.65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68,245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an average price. These shares were purchased in multiple transactions at prices ranging from $3.62 to $3.65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112,500 of Restricted Stock Units ("RSUs") granted under the Adagene Inc. 2021 Performance Incentive Plan. 56,250 of RSUs shall vest on each of the following dates: 7/23/2027, and 7/23/2028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LUO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614" TargetMode="External"/><Relationship Id="rId5" Type="http://schemas.openxmlformats.org/officeDocument/2006/relationships/hyperlink" Target="http://www.sec.gov/cgi-bin/browse-edgar?action=getcompany&amp;CIK=0001818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3438</Characters>
  <CharactersWithSpaces>3994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