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lineRule="atLeast" w:line="142" w:before="0" w:after="0"/>
        <w:ind w:left="0" w:right="0" w:hanging="0"/>
        <w:jc w:val="center"/>
        <w:rPr/>
      </w:pPr>
      <w:bookmarkStart w:id="0" w:name="adag-20260812x6k.htm"/>
      <w:bookmarkStart w:id="1" w:name="ksadag20260812x6k"/>
      <w:bookmarkEnd w:id="0"/>
      <w:bookmarkEnd w:id="1"/>
      <w:r>
        <w:rPr/>
        <w:t>​</w:t>
      </w:r>
    </w:p>
    <w:p>
      <w:pPr>
        <w:pStyle w:val="TextBody"/>
        <w:bidi w:val="0"/>
        <w:spacing w:before="120" w:after="0"/>
        <w:ind w:left="0" w:right="0" w:hanging="0"/>
        <w:jc w:val="center"/>
        <w:rPr>
          <w:rFonts w:ascii="Times New Roman;Times;serif" w:hAnsi="Times New Roman;Times;serif"/>
          <w:b/>
          <w:sz w:val="36"/>
        </w:rPr>
      </w:pPr>
      <w:bookmarkStart w:id="2" w:name="_0a276a9a_45fe_42dd_8e68_c652e9520a80"/>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REPORT OF FOREIGN PRIVATE ISSUER PURSUANT TO RULE 13a-</w:t>
        <w:br/>
        <w:t>16 OR 15d-16 UNDER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August 2026</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001-39997</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Adagene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4F, Building C14, No. 218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Xinghu Street, Suzhou Industrial Park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Suzhou, Jiangsu Province, 215123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+86-512-8777-3632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20-F ☒ Form 40-F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 w:name="_576eb125_0304_48b7_a01f_1e007bac67cc"/>
      <w:bookmarkEnd w:id="3"/>
      <w:r>
        <w:rPr>
          <w:rFonts w:ascii="Times New Roman;Times;serif" w:hAnsi="Times New Roman;Times;serif"/>
          <w:b/>
          <w:sz w:val="20"/>
        </w:rPr>
        <w:t>INCORPORATION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12, 2026, Adagene Inc. (the “Company”) reported the Company’s financial results for the six-month period ended June 30, 2026. This current report on Form 6-K, including Exhibits 99.1 and 99.2 attached hereof, is hereby incorporated by reference into the registration statements on Form F-3 (File No. 333-287161 and File No. 333-291196) and Form S-8 (File No. 333-255250) of the Company (including any prospectuses forming a part of such registration statements), and shall be a part thereof from the date on which this current report is furnished, to the extent not superseded by documents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 reports subsequently filed or furnished.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 w:name="_22bdcca6_df57_4f31_ad0e_f4a9d2e0c5b0"/>
      <w:bookmarkEnd w:id="4"/>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653" w:type="dxa"/>
        <w:jc w:val="left"/>
        <w:tblInd w:w="0" w:type="dxa"/>
        <w:tblLayout w:type="fixed"/>
        <w:tblCellMar>
          <w:top w:w="0" w:type="dxa"/>
          <w:left w:w="0" w:type="dxa"/>
          <w:bottom w:w="0" w:type="dxa"/>
          <w:right w:w="0" w:type="dxa"/>
        </w:tblCellMar>
      </w:tblPr>
      <w:tblGrid>
        <w:gridCol w:w="1951"/>
        <w:gridCol w:w="631"/>
        <w:gridCol w:w="2071"/>
      </w:tblGrid>
      <w:tr>
        <w:trPr/>
        <w:tc>
          <w:tcPr>
            <w:tcW w:w="195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Adagene Inc.</w:t>
            </w:r>
          </w:p>
        </w:tc>
      </w:tr>
      <w:tr>
        <w:trPr/>
        <w:tc>
          <w:tcPr>
            <w:tcW w:w="195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Peter Luo</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Peter Luo</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270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2702"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_e64e529e_1510_4cd5_ad25_7aa1db1482a7"/>
      <w:bookmarkEnd w:id="5"/>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22"/>
        <w:gridCol w:w="346"/>
        <w:gridCol w:w="9037"/>
      </w:tblGrid>
      <w:tr>
        <w:trPr/>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21970" cy="175260"/>
                      <wp:effectExtent l="0" t="0" r="0" b="0"/>
                      <wp:wrapNone/>
                      <wp:docPr id="1" name="Frame1"/>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738495" cy="175260"/>
                      <wp:effectExtent l="0" t="0" r="0" b="0"/>
                      <wp:wrapNone/>
                      <wp:docPr id="3" name="Frame3"/>
                      <a:graphic xmlns:a="http://schemas.openxmlformats.org/drawingml/2006/main">
                        <a:graphicData uri="http://schemas.microsoft.com/office/word/2010/wordprocessingShape">
                          <wps:wsp>
                            <wps:cNvSpPr txBox="1"/>
                            <wps:spPr>
                              <a:xfrm>
                                <a:off x="0" y="0"/>
                                <a:ext cx="573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2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3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pPr>
            <w:hyperlink w:anchor="adag-20260812xex99d1.htm">
              <w:r>
                <w:rPr>
                  <w:rStyle w:val="InternetLink"/>
                  <w:rFonts w:ascii="Times New Roman;Times;serif" w:hAnsi="Times New Roman;Times;serif"/>
                  <w:b w:val="false"/>
                  <w:i w:val="false"/>
                  <w:caps w:val="false"/>
                  <w:smallCaps w:val="false"/>
                  <w:sz w:val="20"/>
                </w:rPr>
                <w:t>Press release tilted “Adagene Reports Six Month 2026 Financial Results and Provides Corporate Update”</w:t>
              </w:r>
            </w:hyperlink>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pPr>
            <w:hyperlink w:anchor="adag-20260812xex99d2.htm">
              <w:r>
                <w:rPr>
                  <w:rStyle w:val="InternetLink"/>
                  <w:rFonts w:ascii="Times New Roman;Times;serif" w:hAnsi="Times New Roman;Times;serif"/>
                  <w:b w:val="false"/>
                  <w:i w:val="false"/>
                  <w:caps w:val="false"/>
                  <w:smallCaps w:val="false"/>
                  <w:sz w:val="20"/>
                </w:rPr>
                <w:t>Unaudited Interim Condensed Consolidated Financial Statements for the six months ended June 30, 2025 and 2026</w:t>
              </w:r>
            </w:hyperlink>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this instance document does not appear in the Interactive Data File because its XBRL tags are embedded within the Inline XBRL document</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IXBRL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right"/>
        <w:rPr>
          <w:rFonts w:ascii="Times New Roman;Times;serif" w:hAnsi="Times New Roman;Times;serif"/>
          <w:b/>
          <w:sz w:val="20"/>
        </w:rPr>
      </w:pPr>
      <w:bookmarkStart w:id="6" w:name="adag-20260812xex99d1.htm"/>
      <w:bookmarkStart w:id="7" w:name="ksadag20260812xex99d1"/>
      <w:bookmarkEnd w:id="6"/>
      <w:bookmarkEnd w:id="7"/>
      <w:r>
        <w:rPr>
          <w:rFonts w:ascii="Times New Roman;Times;serif" w:hAnsi="Times New Roman;Times;serif"/>
          <w:b/>
          <w:sz w:val="20"/>
        </w:rPr>
        <w:t>Exhibit 99.1</w:t>
      </w:r>
      <w:r>
        <w:br w:type="page"/>
      </w:r>
    </w:p>
    <w:p>
      <w:pPr>
        <w:pStyle w:val="TextBody"/>
        <w:bidi w:val="0"/>
        <w:spacing w:before="0" w:after="240"/>
        <w:ind w:left="0" w:right="0" w:hanging="0"/>
        <w:jc w:val="left"/>
        <w:rPr/>
      </w:pPr>
      <w:r>
        <w:rPr/>
        <w:drawing>
          <wp:inline distT="0" distB="0" distL="0" distR="0">
            <wp:extent cx="1533525"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333375"/>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Adagene Reports Six Months 2026 Financial Results and Provides Corporate Updates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Randomized Phase 2 trial in microsatellite stable colorectal cancer (MSS CRC) ongoing, with results expected in 1H 2027; potential registration trial expected in 2027 once recommended dose regimen has been established</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Data reported at AACR from triple combination therapy in 1L hepatocellular carcinoma (HCC) and late-line MSS CRC highlights muzastotug’s potential as a backbone combination treatment for multiple tumor types across all lines of therapy</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Initiated dosing in a global Phase 1/2 basket trial evaluating muzastotug in combination with a next-generation investigational IO agent through a clinical collaboration with Sanofi</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Investigator-initiated Phase 2 trial of muzastotug in neoadjuvant setting for colorectal cancer is ongoing</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Cash and cash equivalents of $127.9 million include proceeds of public offering in April 2026; provide runway into late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SAN DIEGO, Calif. and SUZHOU, China, August 12, 2026 – Adagene Inc. (“Adagene”) (Nasdaq: ADAG), a platform-driven, clinical-stage biotechnology company transforming the discovery and development of novel antibody-based therapies, today reported financial results for the six months ended June 30, 2026, and provided corporate updates.</w:t>
      </w:r>
    </w:p>
    <w:p>
      <w:pPr>
        <w:pStyle w:val="TextBody"/>
        <w:bidi w:val="0"/>
        <w:spacing w:before="0" w:after="240"/>
        <w:ind w:left="0" w:right="0" w:hanging="0"/>
        <w:jc w:val="both"/>
        <w:rPr/>
      </w:pPr>
      <w:r>
        <w:rPr/>
        <w:t>“</w:t>
      </w:r>
      <w:r>
        <w:rPr>
          <w:rFonts w:ascii="Times New Roman;Times;serif" w:hAnsi="Times New Roman;Times;serif"/>
          <w:sz w:val="20"/>
        </w:rPr>
        <w:t>The first half of 2026 was a period of meaningful advances for the company, as our lead program, muzastotug, a masked, anti-CTLA-4 SAFEbody, continues to demonstrate compelling efficacy and a favorable safety profile in MSS CRC and HCC,” said Peter Luo, Ph.D., CEO and President of R&amp;D at Adagene. “The strength of muzastotug as a potential backbone therapy continues to be recognized with recent collaborations and the clinical data to date demonstrates the enhanced safety of muzastotug relative to legacy CTLA-4 therapies, even at approximately ten times higher doses. This enhanced safety allows muzastotug to be used as a potential backbone therapy in combination with pembrolizumab and/or other standard of care therapies, such as fruquintinib. We remain encouraged by the durable benefit we are seeing.”</w:t>
      </w:r>
    </w:p>
    <w:p>
      <w:pPr>
        <w:pStyle w:val="TextBody"/>
        <w:bidi w:val="0"/>
        <w:spacing w:before="0" w:after="240"/>
        <w:ind w:left="0" w:right="0" w:hanging="0"/>
        <w:jc w:val="both"/>
        <w:rPr/>
      </w:pPr>
      <w:r>
        <w:rPr/>
        <w:t>“</w:t>
      </w:r>
      <w:r>
        <w:rPr>
          <w:rFonts w:ascii="Times New Roman;Times;serif" w:hAnsi="Times New Roman;Times;serif"/>
          <w:sz w:val="20"/>
        </w:rPr>
        <w:t>We also welcomed Peter Lebowitz to our Scientific and Strategic Advisory Board, further strengthening the clinical expertise guiding our programs;” continued Dr. Luo. “The equity offering in April brought in new investors and extended our cash runway into late 2028, allowing us to accelerate our pipeline and deliver on our mission to transform cancer immunotherapy for patients.”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Muzastotug (ADG126) Phase 1b/2 study in combination with Merck’s (known as MSD outside of the United States and Canada) anti-PD-1 therapy, KEYTRUDA® (pembrolizumab), in patients with advanced microsatellite stable colorectal cancer (MSS CRC) with no liver metastases.</w:t>
      </w:r>
    </w:p>
    <w:p>
      <w:pPr>
        <w:pStyle w:val="TextBody"/>
        <w:bidi w:val="0"/>
        <w:spacing w:before="0" w:after="16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33525" cy="33337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data announced in April 2026 highlighted clinical results from patients that have been treated with a muzastotug dose of either 10 mg/kg or 20 mg/kg, in combination with pembrolizumab.</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combined 10 mg/kg cohorts, muzastotug achieved an overall response rate (ORR) of 13%. The median progression-free survival (PFS) was 4.8 months, and median overall survival (OS) was 19.8 months.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patients dosed with 10 mg/kg of muzastotug every 6 weeks (Q6W), the ORR was 0% (0/10) and median PFS was 4.5 months.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patients dosed with 10 mg/kg of muzastotug every 3 weeks (Q3W), the ORR was 17% (5/29) and median PFS was 4.8 months.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combined 20 mg/kg cohorts, muzastotug achieved a confirmed ORR of 31%. The median PFS was 6.7 months, and median OS was not yet reached.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patients dosed with 20 mg/kg of muzastotug every 6 weeks (Q6W), the ORR was 25% (3/12) and median PFS was 4.9 months.</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20 mg/kg loading dose cohort (20 mg/kg, followed by 10 mg/kg Q3W), the ORR was 36% (5/14) and median PFS was 15.4 months.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67 patients in all cohorts, a low 4% overall discontinuation rate, no dose limiting toxicities, and no Grade 4 or 5 treatment-related adverse events (TRAEs); Grade 3 TRAEs were 15% in the 10 mg/kg cohorts and 38% in the 20 mg/kg cohorts, which were generally transient and manageable.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into the randomized Phase 2 trial is well on-track, and results are expected in 1H 2027. The Phase 2 trial is enrolling patients into two arms designed to allow dose regimen selection for the Phase 3 trial. Both arms include an induction phase to drive early efficacy and a maintenance phase to prolong overall survival.</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 A: Patients receive 10 mg/kg induction dose of muzastotug plus 200 mg pembrolizumab Q3W for 4 doses followed by one 200 mg dose of pembrolizumab; the maintenance phase doses 10 mg/kg muzastotug Q6W plus 400 mg of pembrolizumab Q6W.</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 B: Patients receive 20 mg/kg induction dose of muzastotug Q6W plus 400 mg pembrolizumab Q6W for 2 doses; the maintenance phase doses muzastotug at 15 mg/kg Q6W plus 400 mg pembrolizumab Q6W.</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registration trial is expected to begin once the recommended dose regimen has been established, supported by the Fast Track Designation and FDA alignment under Project Optimus.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Triple combination Phase 1b/2 study of muzastotug, atezolizumab and bevacizumab, in patients with first-line HCC:</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presented at the American Association for Cancer Research (AACR) annual meeting in April 2026 included results from the study which is evaluating the triple combination of muzastotug, atezolizumab and bevacizumab compared to atezolizumab and bevacizumab as an active control arm. Interim results from six patients in the muzastotug arm (18.8 months median duration of follow-up) demonstrated a 66.7% ORR (4/6) using HCC-specified modified RECIST v1.1 criteria. ORR was 50.0% (3/6) using RECIST v1.1 criteria. The median PFS was 8.2 months (same for both RECIST criteria) and the median OS was not yet reached at the data cut but was greater than 22 months.</w:t>
            </w:r>
          </w:p>
        </w:tc>
      </w:tr>
    </w:tbl>
    <w:p>
      <w:pPr>
        <w:pStyle w:val="TextBody"/>
        <w:bidi w:val="0"/>
        <w:spacing w:before="0" w:after="16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533525" cy="33337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results compared favorably to the 40 patients in the active control arm (17.2 months median duration of follow-up) that demonstrated an ORR of 32.5% (13/40) using HCC-specified modified RECIST v1.1 criteria, median PFS of 5.5 months, and median OS of 17.5 months. Using RECIST v1.1 criteria, the ORR was 17.5% (7/40) and the median PFS was 4.3 months.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triplet regimen of muzastotug, atezolizumab and bevacizumab was well-tolerated with safety data comparable to the doublet active control arm of atezolizumab and bevacizumab. Grade 3 or greater TRAEs were 50% (3/6) in the muzastotug arm and 45% (18/40) in the active control arm, which supports the potential for continuous dosing with muzastotug. Ongoing muzastotug plus atezolizumab treatment after bevacizumab discontinuation suggests potential flexibility to modify individual agents during safety-related interruptions while preserving durable clinical benefit from the muzastotug and atezolizumab doublet for an extended period of time.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Triple combination Phase 1b/2 study of muzastotug, pembrolizumab and fruquintinib in patients with advanced or metastatic MSS CRC:</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data presented at AACR, interim results from the study demonstrated a 25% confirmed ORR (1/4) among patients at a dose of 10 mg/kg every 6 weeks (Q6W) of muzastotug (6.7 months median follow-up), and a 40% ORR (2/5) among patients at a dose of 15 mg/kg Q6W of muzastotug (5.9 months median follow-up). The triplet regimen was well-tolerated with no new safety signals, relative to known CTLA-4, PD-1, and fruquintinib monotherapy and combination safety data. There were no dose-limiting toxicities, 25 – 60% Grade 3 TRAEs, and no Grade 4 or Grade 5 TRAEs.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Investigator-initiated Phase 2 trial of muzastotug in the neoadjuvant setting, in combination with pembrolizumab, for the treatment of MSS CRC:</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in this study received muzastotug up to 20 mg/kg in combination with pembrolizumab prior to surgery. Using paired tumor biopsies collected before and after treatment, the study evaluates muzastotug’s pharmacokinetic profile in tumor tissue and its pharmacodynamic effects on the immune landscape of the tumor microenvironment. These analyses are designed to further elucidate muzastotug’s unique mechanism of action and its potential to deliver an enhanced therapeutic index.</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trial’s primary endpoint is the rate of Major Pathologic Response (MPR), defined as ≤10% residual viable tumor in the surgical specimen, and is being evaluated in up to 20 patients. Secondary endpoints include complete pathological response, disease-free survival, and safety/tolerability. Preliminary clinical data will inform future development of muzastotug in the neoadjuvant setting.</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COLLABORATION UPDATES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Sanofi</w:t>
            </w:r>
            <w:r>
              <w:rPr>
                <w:rFonts w:ascii="Times New Roman;Times;serif" w:hAnsi="Times New Roman;Times;serif"/>
                <w:b w:val="false"/>
                <w:i w:val="false"/>
                <w:caps w:val="false"/>
                <w:smallCaps w:val="false"/>
                <w:sz w:val="20"/>
              </w:rPr>
              <w:t>: A global Phase 1/2 basket trial evaluating muzastotug in combination with a next-generation investigational IO agent in patients with advanced solid tumors is being sponsored and conducted by Sanofi as part of an external clinical collaboration.</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533525" cy="33337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Incyte</w:t>
            </w:r>
            <w:r>
              <w:rPr>
                <w:rFonts w:ascii="Times New Roman;Times;serif" w:hAnsi="Times New Roman;Times;serif"/>
                <w:b w:val="false"/>
                <w:i w:val="false"/>
                <w:caps w:val="false"/>
                <w:smallCaps w:val="false"/>
                <w:sz w:val="20"/>
              </w:rPr>
              <w:t>: Established clinical collaboration to evaluate muzastotug in combination with Incyte’s TGFβR2xPD-1 bispecific antibody (INCA33890), a leading PD-1-based bispecific program which has demonstrated promising clinical efficacy and safety data as a monotherapy in immune checkpoint sensitive and insensitive cancers, including MSS CRC with and without liver metastases. A Phase 1 combination study in 3L MSS CRC patients with and without liver metastases, sponsored and conducted by Incyte, is expected to begin later this year.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Exelixis</w:t>
            </w:r>
            <w:r>
              <w:rPr>
                <w:rFonts w:ascii="Times New Roman;Times;serif" w:hAnsi="Times New Roman;Times;serif"/>
                <w:b w:val="false"/>
                <w:i w:val="false"/>
                <w:caps w:val="false"/>
                <w:smallCaps w:val="false"/>
                <w:sz w:val="20"/>
              </w:rPr>
              <w:t>: Preclinical data was presented at AACR from antibody-drug conjugate, XB404, built with Adagene’s SAFEbody masking technology and designed to deliver a cytotoxic payload to ROR1/2-expressing tumors while minimizing on-target, off-tumor side effects. XB404 demonstrated dose-related tumor growth inhibition and improved survival in cell line models. Investigational New Drug (IND)-enabling studies are ongoing.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ConjugateBio</w:t>
            </w:r>
            <w:r>
              <w:rPr>
                <w:rFonts w:ascii="Times New Roman;Times;serif" w:hAnsi="Times New Roman;Times;serif"/>
                <w:b w:val="false"/>
                <w:i w:val="false"/>
                <w:caps w:val="false"/>
                <w:smallCaps w:val="false"/>
                <w:sz w:val="20"/>
              </w:rPr>
              <w:t>: The collaboration is ongoing with bispecific ADCs utilizing an Adagene-derived antibody, further demonstrating scalable platform potential.</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UPDATES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Peter Lebowitz, M.D., Ph.D., former Global Head of Oncology R&amp;D for Johnson &amp; Johnson, to the Scientific and Strategic Advisory Board (SAB), who is helping guide the clinical development of muzastotug, including strategies to advance the program into registration studies.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underwritten public offering of American depositary shares in April 2026 with approximately $70 million in gross proceeds.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HIGHLIGHTS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were US$127.9 million as of June 30, 2026, compared to US$74.5 million as of December 31, 2025. Cash and cash equivalents included proceeds received from the ATM offering and underwritten public offering completed in April 2026. The company expects a cash runway extending into late 2028.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borrowings from commercial banks in China (denominated in RMB) decreased to US$5.7 million as of June 30, 2026 from US$6.1 million as of December 31, 2025. The associated loan proceeds were primarily used to pay for the company’s R&amp;D activities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revenue was US$1.6 million for the six months ended June 30, 2026, compared to nil for the same period in 2025. The increase reflects net revenue recognized upon fulfillment of certain performance obligations associated with the collaboration and technology licensing agreements with Sanofi and Exelixis, respectively.</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533525" cy="3333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(R&amp;D)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were US$14.0 million for the six months ended June 30, 2026, compared to US$12.0 million for the same period in 2025. The increase of approximately 16.2% in R&amp;D expenses reflects continued clinical focus and development of muzastotug, the company’s masked, anti-CTLA-4 SAFEbody ADG126.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Administrative expenses were US$4.2 million for the six months ended June 30, 2026, compared to US$3.7 million for the same period in 2025. The increase was mainly due to increase in both personnel and office-related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loss attributable to Adagene Inc.’s shareholders was US$16.4 million for the six months ended June 30, 2026, compared to US$13.5 million for the same period in 2025.</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Ordinary Shares Outstanding: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there were 83,929,180 ordinary shares issued and outstanding. Each American depositary share, or ADS, represents one and one quarter (1.25) ordinary shares of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Non-GAAP 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loss, which is defined as net loss attributable to ordinary shareholders for the period after excluding share-based compensation expenses, was US$14.2 million for the six months ended June 30, 2026, compared to US$11.4 million for the same period in 2025. Please refer to the section in this press release titled “Reconciliation of GAAP and Non-GAAP Results” for details.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non-GAAP net loss and non-GAAP net loss per ordinary shares for the period, which are non-GAAP financial measures, in evaluating its operating results and for financial and operational decision-making purposes. The company believes that non-GAAP net loss and non-GAAP net loss per ordinary shares for the period help identify underlying trends in the company’s business that could otherwise be distorted by the effect of certain expenses that the company includes in its loss for the period. The company believes that non-GAAP net loss and non-GAAP net loss per ordinary shares for the period provide useful information about its results of operations, enhances the overall understanding of its past performance and future prospects and allows for greater visibility with respect to key metrics used by its management in its financial and operational decision-making.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loss and non-GAAP net loss per ordinary shares for the period should not be considered in isolation or construed as an alternative to operating profit, loss for the period or any other measure of performance or as an indicator of its operating performance. Investors are encouraged to review non-GAAP net loss and non-GAAP net loss per ordinary shares for the period and the reconciliation to their most directly comparable GAAP measures. Non-GAAP net loss and non-GAAP net loss per ordinary shares for the period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its financial information in its entirety and not rely on a single financial measure. Non-GAAP net loss and non-GAAP net loss per ordinary shares for the period represent net loss attributable to ordinary shareholders for the period excluding share-based compensation expenses. Share-based compensation expense is a non-cash expense arising from the grant of stock-based awards to employees. The company believes that the exclusion of share-based compensation expenses from the net loss in the Reconciliation of GAAP and Non-GAAP Results assists management and investors in making meaningful period-to-period comparisons in the company’s operating performance or peer group comparisons because (i) the amount of share-based compensation expenses in any specific period may not directly correlate to the company’s underlying performance, (ii) such expenses can vary significantly between periods as a result of the timing of grants of new stock-based awards, and (iii) other companies may use different forms of employee compensation or different valuation methodologies for their share-based compensation.</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533525" cy="3333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Please see the “Reconciliation of GAAP and Non-GAAP Results” included in this press release for a full reconciliation of non-GAAP net loss and non-GAAP net loss per ordinary shares for the period to net loss attributable to ordinary shareholders for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About Adagene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microsatellite stable (MSS) metastatic colorectal cancer (CRC). Validated by ongoing clinical research, the SAFEbody platform can be applied to a wide variety of antibody-based therapeutic modalities, including Fc empowered antibodies, antibody-drug conjugates, and bi/multi-specific T-cell engagers.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more information, please visit: https://investor.adagene.com.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 Adagene on WeChat, LinkedIn and X.</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533525" cy="33337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SAFEbody® is a registered trademark in the United States, China, Australia, Japan, Singapore, and the European Union.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KEYTRUDA® is a registered trademark of Merck Sharp &amp; Dohme LLC, a subsidiary of Merck &amp; Co., Inc., Rahway, NJ, USA.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Safe Harbor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including statements regarding certain clinical results of ADG126, the potential implications of clinical data for patients, and Adagene’s advancement of, and anticipated preclinical activities, clinical development, regulatory milestones, and commercialization of its product candidates.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Adagene’s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the impact of the COVID-19 pandemic on Adagene’s clinical development, commercial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Investor Contacts: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Raymond Tam</w:t>
        <w:br/>
        <w:t>Raymond_tam@adagene.com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Corey Davis</w:t>
        <w:br/>
        <w:t>LifeSci Advisors</w:t>
        <w:br/>
        <w:t>cdavis@lifesciadvisors.com</w:t>
      </w:r>
    </w:p>
    <w:p>
      <w:pPr>
        <w:pStyle w:val="TextBody"/>
        <w:bidi w:val="0"/>
        <w:spacing w:before="0" w:after="16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533525" cy="33337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Unaudited Consolidated Balance Sheets</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6888"/>
        <w:gridCol w:w="346"/>
        <w:gridCol w:w="1216"/>
        <w:gridCol w:w="346"/>
        <w:gridCol w:w="1216"/>
        <w:gridCol w:w="193"/>
      </w:tblGrid>
      <w:tr>
        <w:trPr/>
        <w:tc>
          <w:tcPr>
            <w:tcW w:w="6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373880" cy="175260"/>
                      <wp:effectExtent l="0" t="0" r="0" b="0"/>
                      <wp:wrapNone/>
                      <wp:docPr id="12" name="Frame4"/>
                      <a:graphic xmlns:a="http://schemas.openxmlformats.org/drawingml/2006/main">
                        <a:graphicData uri="http://schemas.microsoft.com/office/word/2010/wordprocessingShape">
                          <wps:wsp>
                            <wps:cNvSpPr txBox="1"/>
                            <wps:spPr>
                              <a:xfrm>
                                <a:off x="0" y="0"/>
                                <a:ext cx="437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29210"/>
                      <wp:effectExtent l="0" t="0" r="0" b="0"/>
                      <wp:wrapNone/>
                      <wp:docPr id="13" name="Frame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72160" cy="29210"/>
                      <wp:effectExtent l="0" t="0" r="0" b="0"/>
                      <wp:wrapNone/>
                      <wp:docPr id="14" name="Frame6"/>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29210"/>
                      <wp:effectExtent l="0" t="0" r="0" b="0"/>
                      <wp:wrapNone/>
                      <wp:docPr id="15" name="Frame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72160" cy="29210"/>
                      <wp:effectExtent l="0" t="0" r="0" b="0"/>
                      <wp:wrapNone/>
                      <wp:docPr id="16" name="Frame8"/>
                      <a:graphic xmlns:a="http://schemas.openxmlformats.org/drawingml/2006/main">
                        <a:graphicData uri="http://schemas.microsoft.com/office/word/2010/wordprocessingShape">
                          <wps:wsp>
                            <wps:cNvSpPr txBox="1"/>
                            <wps:spPr>
                              <a:xfrm>
                                <a:off x="0" y="0"/>
                                <a:ext cx="772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2555" cy="29210"/>
                      <wp:effectExtent l="0" t="0" r="0" b="0"/>
                      <wp:wrapNone/>
                      <wp:docPr id="17" name="Frame9"/>
                      <a:graphic xmlns:a="http://schemas.openxmlformats.org/drawingml/2006/main">
                        <a:graphicData uri="http://schemas.microsoft.com/office/word/2010/wordprocessingShape">
                          <wps:wsp>
                            <wps:cNvSpPr txBox="1"/>
                            <wps:spPr>
                              <a:xfrm>
                                <a:off x="0" y="0"/>
                                <a:ext cx="122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br/>
              <w:t>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br/>
              <w:t>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8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74,523,782</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127,909,840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17,349</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2,834,034</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4,345,758</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77,375,165</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132,408,623</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717,374</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716,616</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145,535</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390,535</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25,223</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59,794</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78,263,297</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133,575,568</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121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2,884,507</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15,538,937</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3,462,683</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2,182,770</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related parties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10,347,200</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2,790,794</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2,580,704</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410,198</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205,146</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1,178,702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4,268,154</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4,404,704</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711,359</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293,647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92,055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181,733</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25,172,096</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26,361,197</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1,138,174</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1,027,764</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183,189</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26,363,750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27,572,150</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Series A non-voting contingently redeemable convertible preferred shares (par value of US$0.0001 per share; 1,062,500 shares authorized, issued and outstanding as of December 31, 2025 and June 30, 2026,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16,550,000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16,550,000</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16,550,000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16,550,000</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Ordinary shares (par value of US$0.0001 per share; 640,000,000 shares authorized, and 59,231,993 shares issued and outstanding as of December 31, 2025; and 640,000,000 shares authorized, and 83,929,180 shares issued and outstanding as of June 30, 2026)</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5,923</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8,393</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366,043,455</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436,768,742</w:t>
            </w:r>
          </w:p>
        </w:tc>
        <w:tc>
          <w:tcPr>
            <w:tcW w:w="193" w:type="dxa"/>
            <w:tcBorders/>
            <w:shd w:fill="CCEEFF" w:val="cle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(1,914,831)</w:t>
            </w:r>
          </w:p>
        </w:tc>
        <w:tc>
          <w:tcPr>
            <w:tcW w:w="34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(2,159,885)</w:t>
            </w:r>
          </w:p>
        </w:tc>
        <w:tc>
          <w:tcPr>
            <w:tcW w:w="193" w:type="dxa"/>
            <w:tcBorders/>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(328,785,000)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(345,163,832)</w:t>
            </w:r>
          </w:p>
        </w:tc>
        <w:tc>
          <w:tcPr>
            <w:tcW w:w="1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88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35,349,547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89,453,418</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88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78,263,297</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133,575,568</w:t>
            </w:r>
          </w:p>
        </w:tc>
        <w:tc>
          <w:tcPr>
            <w:tcW w:w="1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533525" cy="333375"/>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Unaudited Consolidated Statements of Comprehensive Loss</w:t>
      </w:r>
    </w:p>
    <w:p>
      <w:pPr>
        <w:pStyle w:val="TextBody"/>
        <w:bidi w:val="0"/>
        <w:spacing w:before="0" w:after="0"/>
        <w:ind w:left="0" w:right="0" w:hanging="0"/>
        <w:jc w:val="both"/>
        <w:rPr/>
      </w:pPr>
      <w:r>
        <w:rPr/>
        <w:t>​</w:t>
      </w:r>
    </w:p>
    <w:tbl>
      <w:tblPr>
        <w:tblW w:w="10205" w:type="dxa"/>
        <w:jc w:val="center"/>
        <w:tblInd w:w="0" w:type="dxa"/>
        <w:tblLayout w:type="fixed"/>
        <w:tblCellMar>
          <w:top w:w="0" w:type="dxa"/>
          <w:left w:w="0" w:type="dxa"/>
          <w:bottom w:w="0" w:type="dxa"/>
          <w:right w:w="0" w:type="dxa"/>
        </w:tblCellMar>
      </w:tblPr>
      <w:tblGrid>
        <w:gridCol w:w="6410"/>
        <w:gridCol w:w="346"/>
        <w:gridCol w:w="1456"/>
        <w:gridCol w:w="346"/>
        <w:gridCol w:w="1456"/>
        <w:gridCol w:w="191"/>
      </w:tblGrid>
      <w:tr>
        <w:trPr/>
        <w:tc>
          <w:tcPr>
            <w:tcW w:w="6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070350" cy="175260"/>
                      <wp:effectExtent l="0" t="0" r="0" b="0"/>
                      <wp:wrapNone/>
                      <wp:docPr id="19" name="Frame10"/>
                      <a:graphic xmlns:a="http://schemas.openxmlformats.org/drawingml/2006/main">
                        <a:graphicData uri="http://schemas.microsoft.com/office/word/2010/wordprocessingShape">
                          <wps:wsp>
                            <wps:cNvSpPr txBox="1"/>
                            <wps:spPr>
                              <a:xfrm>
                                <a:off x="0" y="0"/>
                                <a:ext cx="407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29210"/>
                      <wp:effectExtent l="0" t="0" r="0" b="0"/>
                      <wp:wrapNone/>
                      <wp:docPr id="20" name="Frame1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4560" cy="29210"/>
                      <wp:effectExtent l="0" t="0" r="0" b="0"/>
                      <wp:wrapNone/>
                      <wp:docPr id="21" name="Frame12"/>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29210"/>
                      <wp:effectExtent l="0" t="0" r="0" b="0"/>
                      <wp:wrapNone/>
                      <wp:docPr id="22" name="Frame1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24560" cy="29210"/>
                      <wp:effectExtent l="0" t="0" r="0" b="0"/>
                      <wp:wrapNone/>
                      <wp:docPr id="23" name="Frame14"/>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29210"/>
                      <wp:effectExtent l="0" t="0" r="0" b="0"/>
                      <wp:wrapNone/>
                      <wp:docPr id="24" name="Frame15"/>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six months</w:t>
              <w:br/>
              <w:t>ended</w:t>
            </w:r>
            <w:r>
              <w:rPr>
                <w:rFonts w:ascii="Times New Roman;Times;serif" w:hAnsi="Times New Roman;Times;serif"/>
                <w:sz w:val="16"/>
              </w:rPr>
              <w:br/>
            </w:r>
            <w:r>
              <w:rPr>
                <w:rFonts w:ascii="Times New Roman;Times;serif" w:hAnsi="Times New Roman;Times;serif"/>
                <w:b/>
                <w:sz w:val="16"/>
              </w:rPr>
              <w:t>June 30, 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six months</w:t>
              <w:br/>
              <w:t>ended</w:t>
            </w:r>
            <w:r>
              <w:rPr>
                <w:rFonts w:ascii="Times New Roman;Times;serif" w:hAnsi="Times New Roman;Times;serif"/>
                <w:sz w:val="16"/>
              </w:rPr>
              <w:br/>
            </w:r>
            <w:r>
              <w:rPr>
                <w:rFonts w:ascii="Times New Roman;Times;serif" w:hAnsi="Times New Roman;Times;serif"/>
                <w:b/>
                <w:sz w:val="16"/>
              </w:rPr>
              <w:t>June 30, 2026</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4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and collaboration revenue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1,619,913</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 and income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(12,015,184)</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(13,964,667)</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(3,673,073)</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(4,241,785)</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(15,688,257)</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(16,586,539)</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1,214,108</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1,376,774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(318,422)</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(140,344)</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63,436</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gain (loss), net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1,252,353</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(169,880)</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(973,556)</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(13,476,782)</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(16,446,848)</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68,016</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Adagene Inc.’s shareholders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(16,378,832)</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nil tax</w:t>
            </w:r>
          </w:p>
        </w:tc>
        <w:tc>
          <w:tcPr>
            <w:tcW w:w="346"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(1,168,652)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(245,054)</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 attributable to Adagene Inc.’s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(14,645,892)</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(16,623,886)</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Adagene Inc.’s shareholders</w:t>
            </w:r>
          </w:p>
        </w:tc>
        <w:tc>
          <w:tcPr>
            <w:tcW w:w="346" w:type="dxa"/>
            <w:tcBorders/>
            <w:vAlign w:val="center"/>
          </w:tcPr>
          <w:p>
            <w:pPr>
              <w:pStyle w:val="TableContents"/>
              <w:bidi w:val="0"/>
              <w:spacing w:before="0" w:after="0"/>
              <w:ind w:left="0" w:right="0" w:hanging="0"/>
              <w:jc w:val="left"/>
              <w:rPr/>
            </w:pPr>
            <w:r>
              <w:rPr/>
              <w:t>​</w:t>
            </w:r>
          </w:p>
        </w:tc>
        <w:tc>
          <w:tcPr>
            <w:tcW w:w="145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vAlign w:val="center"/>
          </w:tcPr>
          <w:p>
            <w:pPr>
              <w:pStyle w:val="TableContents"/>
              <w:bidi w:val="0"/>
              <w:spacing w:before="0" w:after="0"/>
              <w:ind w:left="0" w:right="0" w:hanging="0"/>
              <w:jc w:val="left"/>
              <w:rPr/>
            </w:pPr>
            <w:r>
              <w:rPr/>
              <w:t>​</w:t>
            </w:r>
          </w:p>
        </w:tc>
        <w:tc>
          <w:tcPr>
            <w:tcW w:w="1456" w:type="dxa"/>
            <w:tcBorders>
              <w:top w:val="double" w:sz="6"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(16,378,832)</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ordinary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(16,378,832)</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used in per share calculation:</w:t>
            </w:r>
          </w:p>
        </w:tc>
        <w:tc>
          <w:tcPr>
            <w:tcW w:w="346" w:type="dxa"/>
            <w:tcBorders/>
            <w:vAlign w:val="center"/>
          </w:tcPr>
          <w:p>
            <w:pPr>
              <w:pStyle w:val="TableContents"/>
              <w:bidi w:val="0"/>
              <w:spacing w:before="0" w:after="0"/>
              <w:ind w:left="0" w:right="0" w:hanging="0"/>
              <w:jc w:val="left"/>
              <w:rPr/>
            </w:pPr>
            <w:r>
              <w:rPr/>
              <w:t>​</w:t>
            </w:r>
          </w:p>
        </w:tc>
        <w:tc>
          <w:tcPr>
            <w:tcW w:w="145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pPr>
            <w:r>
              <w:rPr/>
              <w:t>—</w:t>
            </w: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70,773,769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70,773,769</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ordinary share</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10"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91" w:type="dxa"/>
            <w:tcBorders/>
            <w:vAlign w:val="center"/>
          </w:tcPr>
          <w:p>
            <w:pPr>
              <w:pStyle w:val="TableContents"/>
              <w:bidi w:val="0"/>
              <w:spacing w:before="0" w:after="0"/>
              <w:ind w:left="0" w:right="0" w:hanging="0"/>
              <w:jc w:val="left"/>
              <w:rPr/>
            </w:pPr>
            <w:r>
              <w:rPr/>
              <w:t>​</w:t>
            </w:r>
          </w:p>
        </w:tc>
      </w:tr>
      <w:tr>
        <w:trPr/>
        <w:tc>
          <w:tcPr>
            <w:tcW w:w="6410" w:type="dxa"/>
            <w:tcBorders/>
            <w:shd w:fill="CCEEFF" w:val="clear"/>
            <w:vAlign w:val="center"/>
          </w:tcPr>
          <w:p>
            <w:pPr>
              <w:pStyle w:val="TableContents"/>
              <w:pBdr/>
              <w:bidi w:val="0"/>
              <w:spacing w:before="0" w:after="0"/>
              <w:ind w:left="0" w:right="0" w:hanging="0"/>
              <w:jc w:val="left"/>
              <w:rPr/>
            </w:pPr>
            <w:r>
              <w:rPr/>
              <w:t>—</w:t>
            </w: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left"/>
        <w:rPr/>
      </w:pPr>
      <w:r>
        <w:rPr/>
        <w:drawing>
          <wp:inline distT="0" distB="0" distL="0" distR="0">
            <wp:extent cx="1533525" cy="33337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1533525" cy="333375"/>
                    </a:xfrm>
                    <a:prstGeom prst="rect">
                      <a:avLst/>
                    </a:prstGeom>
                  </pic:spPr>
                </pic:pic>
              </a:graphicData>
            </a:graphic>
          </wp:inline>
        </w:drawing>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Reconciliation of GAAP and Non-GAAP Results</w:t>
      </w:r>
    </w:p>
    <w:p>
      <w:pPr>
        <w:pStyle w:val="TextBody"/>
        <w:bidi w:val="0"/>
        <w:spacing w:before="0" w:after="0"/>
        <w:ind w:left="0" w:right="0" w:hanging="0"/>
        <w:jc w:val="left"/>
        <w:rPr/>
      </w:pPr>
      <w:r>
        <w:rPr/>
        <w:t>​</w:t>
      </w:r>
    </w:p>
    <w:tbl>
      <w:tblPr>
        <w:tblW w:w="9946" w:type="dxa"/>
        <w:jc w:val="center"/>
        <w:tblInd w:w="0" w:type="dxa"/>
        <w:tblLayout w:type="fixed"/>
        <w:tblCellMar>
          <w:top w:w="0" w:type="dxa"/>
          <w:left w:w="0" w:type="dxa"/>
          <w:bottom w:w="0" w:type="dxa"/>
          <w:right w:w="0" w:type="dxa"/>
        </w:tblCellMar>
      </w:tblPr>
      <w:tblGrid>
        <w:gridCol w:w="6151"/>
        <w:gridCol w:w="346"/>
        <w:gridCol w:w="1456"/>
        <w:gridCol w:w="346"/>
        <w:gridCol w:w="1456"/>
        <w:gridCol w:w="191"/>
      </w:tblGrid>
      <w:tr>
        <w:trPr/>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905885" cy="175260"/>
                      <wp:effectExtent l="0" t="0" r="0" b="0"/>
                      <wp:wrapNone/>
                      <wp:docPr id="26" name="Frame16"/>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29210"/>
                      <wp:effectExtent l="0" t="0" r="0" b="0"/>
                      <wp:wrapNone/>
                      <wp:docPr id="27" name="Frame17"/>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24560" cy="29210"/>
                      <wp:effectExtent l="0" t="0" r="0" b="0"/>
                      <wp:wrapNone/>
                      <wp:docPr id="28" name="Frame18"/>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29210"/>
                      <wp:effectExtent l="0" t="0" r="0" b="0"/>
                      <wp:wrapNone/>
                      <wp:docPr id="29" name="Frame19"/>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24560" cy="29210"/>
                      <wp:effectExtent l="0" t="0" r="0" b="0"/>
                      <wp:wrapNone/>
                      <wp:docPr id="30" name="Frame20"/>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1920" cy="29210"/>
                      <wp:effectExtent l="0" t="0" r="0" b="0"/>
                      <wp:wrapNone/>
                      <wp:docPr id="31" name="Frame21"/>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six months</w:t>
              <w:br/>
              <w:t>ended</w:t>
            </w:r>
            <w:r>
              <w:rPr>
                <w:rFonts w:ascii="Times New Roman;Times;serif" w:hAnsi="Times New Roman;Times;serif"/>
                <w:sz w:val="16"/>
              </w:rPr>
              <w:br/>
            </w:r>
            <w:r>
              <w:rPr>
                <w:rFonts w:ascii="Times New Roman;Times;serif" w:hAnsi="Times New Roman;Times;serif"/>
                <w:b/>
                <w:sz w:val="16"/>
              </w:rPr>
              <w:t>June 30, 2025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For the six months</w:t>
              <w:br/>
              <w:t>ended</w:t>
            </w:r>
            <w:r>
              <w:rPr>
                <w:rFonts w:ascii="Times New Roman;Times;serif" w:hAnsi="Times New Roman;Times;serif"/>
                <w:sz w:val="16"/>
              </w:rPr>
              <w:br/>
            </w:r>
            <w:r>
              <w:rPr>
                <w:rFonts w:ascii="Times New Roman;Times;serif" w:hAnsi="Times New Roman;Times;serif"/>
                <w:b/>
                <w:sz w:val="16"/>
              </w:rPr>
              <w:t>June 30, 2026</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191" w:type="dxa"/>
            <w:tcBorders/>
            <w:vAlign w:val="center"/>
          </w:tcPr>
          <w:p>
            <w:pPr>
              <w:pStyle w:val="TableContents"/>
              <w:bidi w:val="0"/>
              <w:spacing w:before="0" w:after="0"/>
              <w:ind w:left="0" w:right="0" w:hanging="0"/>
              <w:jc w:val="lef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net loss attributable to ordinary shareholders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(16,378,832)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back:</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2,030,335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2,131,758</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net loss</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(11,446,905)</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(14,247,074)</w:t>
            </w:r>
          </w:p>
        </w:tc>
        <w:tc>
          <w:tcPr>
            <w:tcW w:w="19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r>
      <w:tr>
        <w:trPr/>
        <w:tc>
          <w:tcPr>
            <w:tcW w:w="61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ordinary shares used in per share calculation:</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70,773,769</w:t>
            </w:r>
          </w:p>
        </w:tc>
        <w:tc>
          <w:tcPr>
            <w:tcW w:w="191" w:type="dxa"/>
            <w:tcBorders/>
            <w:vAlign w:val="center"/>
          </w:tcPr>
          <w:p>
            <w:pPr>
              <w:pStyle w:val="TableContents"/>
              <w:bidi w:val="0"/>
              <w:spacing w:before="0" w:after="0"/>
              <w:ind w:left="0" w:right="0" w:hanging="0"/>
              <w:jc w:val="left"/>
              <w:rPr/>
            </w:pPr>
            <w:r>
              <w:rPr/>
              <w:t>​</w:t>
            </w:r>
          </w:p>
        </w:tc>
      </w:tr>
      <w:tr>
        <w:trPr/>
        <w:tc>
          <w:tcPr>
            <w:tcW w:w="6151" w:type="dxa"/>
            <w:tcBorders/>
            <w:shd w:fill="CCEEFF" w:val="clear"/>
            <w:vAlign w:val="center"/>
          </w:tcPr>
          <w:p>
            <w:pPr>
              <w:pStyle w:val="TableContents"/>
              <w:pBdr/>
              <w:bidi w:val="0"/>
              <w:spacing w:before="0" w:after="0"/>
              <w:ind w:left="0" w:right="0" w:hanging="0"/>
              <w:jc w:val="left"/>
              <w:rPr/>
            </w:pPr>
            <w:r>
              <w:rPr/>
              <w:t>—</w:t>
            </w: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70,773,769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net loss per ordinary share</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151" w:type="dxa"/>
            <w:tcBorders/>
            <w:shd w:fill="CCEEFF" w:val="clear"/>
            <w:vAlign w:val="center"/>
          </w:tcPr>
          <w:p>
            <w:pPr>
              <w:pStyle w:val="TableContents"/>
              <w:pBdr/>
              <w:bidi w:val="0"/>
              <w:spacing w:before="0" w:after="0"/>
              <w:ind w:left="0" w:right="0" w:hanging="0"/>
              <w:jc w:val="left"/>
              <w:rPr/>
            </w:pPr>
            <w:r>
              <w:rPr/>
              <w:t>—</w:t>
            </w: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pBdr/>
              <w:bidi w:val="0"/>
              <w:spacing w:before="0" w:after="0"/>
              <w:ind w:left="0" w:right="0" w:hanging="0"/>
              <w:jc w:val="left"/>
              <w:rPr/>
            </w:pPr>
            <w:r>
              <w:rPr/>
              <w:t>—</w:t>
            </w: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lineRule="auto" w:line="285" w:before="0" w:after="600"/>
        <w:ind w:left="0" w:right="0" w:hanging="0"/>
        <w:jc w:val="left"/>
        <w:rPr/>
      </w:pPr>
      <w:hyperlink w:anchor="TOC">
        <w:bookmarkStart w:id="8" w:name="adag-20260812xex99d2.htm"/>
        <w:bookmarkStart w:id="9" w:name="ksadag20260812xex99d2"/>
        <w:bookmarkEnd w:id="8"/>
        <w:bookmarkEnd w:id="9"/>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lineRule="auto" w:line="285" w:before="0" w:after="240"/>
        <w:ind w:left="0" w:right="0" w:hanging="0"/>
        <w:jc w:val="right"/>
        <w:rPr>
          <w:rFonts w:ascii="Times New Roman;Times;serif" w:hAnsi="Times New Roman;Times;serif"/>
          <w:b/>
          <w:sz w:val="20"/>
        </w:rPr>
      </w:pPr>
      <w:bookmarkStart w:id="10" w:name="_6b445888_7dd3_474c_a677_4b85055fdc8f"/>
      <w:bookmarkEnd w:id="10"/>
      <w:r>
        <w:rPr>
          <w:rFonts w:ascii="Times New Roman;Times;serif" w:hAnsi="Times New Roman;Times;serif"/>
          <w:b/>
          <w:sz w:val="20"/>
        </w:rPr>
        <w:t>Exhibit 99.2</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ADAGENE INC.</w:t>
      </w:r>
    </w:p>
    <w:p>
      <w:pPr>
        <w:pStyle w:val="TextBody"/>
        <w:bidi w:val="0"/>
        <w:spacing w:lineRule="auto" w:line="285" w:before="0" w:after="240"/>
        <w:ind w:left="0" w:right="0" w:hanging="0"/>
        <w:jc w:val="center"/>
        <w:rPr>
          <w:rFonts w:ascii="Times New Roman;Times;serif" w:hAnsi="Times New Roman;Times;serif"/>
          <w:b/>
          <w:sz w:val="20"/>
        </w:rPr>
      </w:pPr>
      <w:bookmarkStart w:id="11" w:name="TOC"/>
      <w:bookmarkEnd w:id="11"/>
      <w:r>
        <w:rPr>
          <w:rFonts w:ascii="Times New Roman;Times;serif" w:hAnsi="Times New Roman;Times;serif"/>
          <w:b/>
          <w:sz w:val="20"/>
        </w:rPr>
        <w:t>INDEX TO THE UNAUDITED INTERIM CONDENSED CONSOLIDATED FINANCIAL STATEMENTS</w:t>
      </w:r>
    </w:p>
    <w:tbl>
      <w:tblPr>
        <w:tblW w:w="10205" w:type="dxa"/>
        <w:jc w:val="left"/>
        <w:tblInd w:w="0" w:type="dxa"/>
        <w:tblLayout w:type="fixed"/>
        <w:tblCellMar>
          <w:top w:w="0" w:type="dxa"/>
          <w:left w:w="0" w:type="dxa"/>
          <w:bottom w:w="28" w:type="dxa"/>
          <w:right w:w="0" w:type="dxa"/>
        </w:tblCellMar>
      </w:tblPr>
      <w:tblGrid>
        <w:gridCol w:w="9153"/>
        <w:gridCol w:w="346"/>
        <w:gridCol w:w="706"/>
      </w:tblGrid>
      <w:tr>
        <w:trPr/>
        <w:tc>
          <w:tcPr>
            <w:tcW w:w="9153" w:type="dxa"/>
            <w:tcBorders>
              <w:bottom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Unaudited Interim Condensed Consolidated Financial Statements</w:t>
            </w:r>
          </w:p>
        </w:tc>
        <w:tc>
          <w:tcPr>
            <w:tcW w:w="346" w:type="dxa"/>
            <w:tcBorders>
              <w:bottom w:val="single" w:sz="2" w:space="0" w:color="000000"/>
            </w:tcBorders>
            <w:vAlign w:val="center"/>
          </w:tcPr>
          <w:p>
            <w:pPr>
              <w:pStyle w:val="TableContents"/>
              <w:bidi w:val="0"/>
              <w:spacing w:lineRule="auto" w:line="285" w:before="0" w:after="0"/>
              <w:ind w:left="0" w:right="0" w:hanging="0"/>
              <w:jc w:val="left"/>
              <w:rPr/>
            </w:pPr>
            <w:r>
              <w:rPr/>
              <w:t>  ​ ​ ​</w:t>
            </w:r>
          </w:p>
        </w:tc>
        <w:tc>
          <w:tcPr>
            <w:tcW w:w="706" w:type="dxa"/>
            <w:tcBorders>
              <w:bottom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PAGES</w:t>
            </w:r>
          </w:p>
        </w:tc>
      </w:tr>
      <w:tr>
        <w:trPr/>
        <w:tc>
          <w:tcPr>
            <w:tcW w:w="9153" w:type="dxa"/>
            <w:tcBorders/>
            <w:tcMar>
              <w:bottom w:w="0" w:type="dxa"/>
            </w:tcMar>
            <w:vAlign w:val="center"/>
          </w:tcPr>
          <w:p>
            <w:pPr>
              <w:pStyle w:val="TableContents"/>
              <w:pBdr/>
              <w:bidi w:val="0"/>
              <w:spacing w:lineRule="auto" w:line="285" w:before="0" w:after="0"/>
              <w:ind w:left="0" w:right="0" w:hanging="0"/>
              <w:jc w:val="left"/>
              <w:rPr/>
            </w:pPr>
            <w:hyperlink w:anchor="CONSOLIDATEDBALANCESHEETS_305472">
              <w:r>
                <w:rPr>
                  <w:rStyle w:val="InternetLink"/>
                  <w:rFonts w:ascii="Times New Roman;Times;serif" w:hAnsi="Times New Roman;Times;serif"/>
                  <w:b w:val="false"/>
                  <w:i w:val="false"/>
                  <w:caps w:val="false"/>
                  <w:smallCaps w:val="false"/>
                  <w:sz w:val="20"/>
                </w:rPr>
                <w:t>Unaudited Interim Condensed Consolidated Balance Sheets as of December 31, 2025 and June 30, 2026</w:t>
              </w:r>
            </w:hyperlink>
          </w:p>
        </w:tc>
        <w:tc>
          <w:tcPr>
            <w:tcW w:w="346" w:type="dxa"/>
            <w:tcBorders/>
            <w:tcMar>
              <w:bottom w:w="0" w:type="dxa"/>
            </w:tcMar>
            <w:vAlign w:val="center"/>
          </w:tcPr>
          <w:p>
            <w:pPr>
              <w:pStyle w:val="TableContents"/>
              <w:bidi w:val="0"/>
              <w:spacing w:lineRule="auto" w:line="304" w:before="0" w:after="160"/>
              <w:ind w:left="0" w:right="0" w:hanging="0"/>
              <w:jc w:val="left"/>
              <w:rPr/>
            </w:pPr>
            <w:r>
              <w:rPr/>
              <w:t>​</w:t>
            </w:r>
          </w:p>
        </w:tc>
        <w:tc>
          <w:tcPr>
            <w:tcW w:w="706" w:type="dxa"/>
            <w:tcBorders/>
            <w:tcMar>
              <w:bottom w:w="0"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153" w:type="dxa"/>
            <w:tcBorders/>
            <w:tcMar>
              <w:bottom w:w="0" w:type="dxa"/>
            </w:tcMar>
            <w:vAlign w:val="center"/>
          </w:tcPr>
          <w:p>
            <w:pPr>
              <w:pStyle w:val="TableContents"/>
              <w:bidi w:val="0"/>
              <w:spacing w:lineRule="auto" w:line="285"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Unaudited Interim Condensed Consolidated Statements of Comprehensive Loss for the Six Months Ended June 30, 2025 and 2026</w:t>
              </w:r>
            </w:hyperlink>
          </w:p>
        </w:tc>
        <w:tc>
          <w:tcPr>
            <w:tcW w:w="346" w:type="dxa"/>
            <w:tcBorders/>
            <w:tcMar>
              <w:bottom w:w="0" w:type="dxa"/>
            </w:tcMar>
            <w:vAlign w:val="center"/>
          </w:tcPr>
          <w:p>
            <w:pPr>
              <w:pStyle w:val="TableContents"/>
              <w:bidi w:val="0"/>
              <w:spacing w:lineRule="auto" w:line="304" w:before="0" w:after="160"/>
              <w:ind w:left="0" w:right="0" w:hanging="0"/>
              <w:jc w:val="left"/>
              <w:rPr/>
            </w:pPr>
            <w:r>
              <w:rPr/>
              <w:t>​</w:t>
            </w:r>
          </w:p>
        </w:tc>
        <w:tc>
          <w:tcPr>
            <w:tcW w:w="706" w:type="dxa"/>
            <w:tcBorders/>
            <w:tcMar>
              <w:bottom w:w="0"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153" w:type="dxa"/>
            <w:tcBorders/>
            <w:tcMar>
              <w:bottom w:w="0" w:type="dxa"/>
            </w:tcMar>
            <w:vAlign w:val="center"/>
          </w:tcPr>
          <w:p>
            <w:pPr>
              <w:pStyle w:val="TableContents"/>
              <w:bidi w:val="0"/>
              <w:spacing w:lineRule="auto" w:line="285" w:before="0" w:after="0"/>
              <w:ind w:left="0" w:right="0" w:hanging="0"/>
              <w:jc w:val="left"/>
              <w:rPr/>
            </w:pPr>
            <w:hyperlink w:anchor="CONSOLIDATEDSTATEMENTSOFCHANGESINSHAREHO">
              <w:r>
                <w:rPr>
                  <w:rStyle w:val="InternetLink"/>
                  <w:rFonts w:ascii="Times New Roman;Times;serif" w:hAnsi="Times New Roman;Times;serif"/>
                  <w:b w:val="false"/>
                  <w:i w:val="false"/>
                  <w:caps w:val="false"/>
                  <w:smallCaps w:val="false"/>
                  <w:sz w:val="20"/>
                </w:rPr>
                <w:t>Unaudited Interim Condensed Consolidated Statements of Changes in Shareholders’ Equity for the Six Months Ended June 30, 2025 and 2026</w:t>
              </w:r>
            </w:hyperlink>
          </w:p>
        </w:tc>
        <w:tc>
          <w:tcPr>
            <w:tcW w:w="346" w:type="dxa"/>
            <w:tcBorders/>
            <w:tcMar>
              <w:bottom w:w="0" w:type="dxa"/>
            </w:tcMar>
            <w:vAlign w:val="center"/>
          </w:tcPr>
          <w:p>
            <w:pPr>
              <w:pStyle w:val="TableContents"/>
              <w:bidi w:val="0"/>
              <w:spacing w:lineRule="auto" w:line="304" w:before="0" w:after="160"/>
              <w:ind w:left="0" w:right="0" w:hanging="0"/>
              <w:jc w:val="left"/>
              <w:rPr/>
            </w:pPr>
            <w:r>
              <w:rPr/>
              <w:t>​</w:t>
            </w:r>
          </w:p>
        </w:tc>
        <w:tc>
          <w:tcPr>
            <w:tcW w:w="706" w:type="dxa"/>
            <w:tcBorders/>
            <w:tcMar>
              <w:bottom w:w="0"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153" w:type="dxa"/>
            <w:tcBorders/>
            <w:tcMar>
              <w:bottom w:w="0" w:type="dxa"/>
            </w:tcMar>
            <w:vAlign w:val="center"/>
          </w:tcPr>
          <w:p>
            <w:pPr>
              <w:pStyle w:val="TableContents"/>
              <w:pBdr/>
              <w:bidi w:val="0"/>
              <w:spacing w:lineRule="auto" w:line="285" w:before="0" w:after="0"/>
              <w:ind w:left="0" w:right="0" w:hanging="0"/>
              <w:jc w:val="left"/>
              <w:rPr/>
            </w:pPr>
            <w:hyperlink w:anchor="CONSOLIDATEDSTATEMENTSOFCASHFLOWS_933280">
              <w:r>
                <w:rPr>
                  <w:rStyle w:val="InternetLink"/>
                  <w:rFonts w:ascii="Times New Roman;Times;serif" w:hAnsi="Times New Roman;Times;serif"/>
                  <w:b w:val="false"/>
                  <w:i w:val="false"/>
                  <w:caps w:val="false"/>
                  <w:smallCaps w:val="false"/>
                  <w:sz w:val="20"/>
                </w:rPr>
                <w:t>Unaudited Interim Condensed Consolidated Statements of Cash Flows for the Six Months Ended June 30, 2025 and 2026</w:t>
              </w:r>
            </w:hyperlink>
          </w:p>
        </w:tc>
        <w:tc>
          <w:tcPr>
            <w:tcW w:w="346" w:type="dxa"/>
            <w:tcBorders/>
            <w:tcMar>
              <w:bottom w:w="0" w:type="dxa"/>
            </w:tcMar>
            <w:vAlign w:val="center"/>
          </w:tcPr>
          <w:p>
            <w:pPr>
              <w:pStyle w:val="TableContents"/>
              <w:bidi w:val="0"/>
              <w:spacing w:lineRule="auto" w:line="304" w:before="0" w:after="160"/>
              <w:ind w:left="0" w:right="0" w:hanging="0"/>
              <w:jc w:val="left"/>
              <w:rPr/>
            </w:pPr>
            <w:r>
              <w:rPr/>
              <w:t>​</w:t>
            </w:r>
          </w:p>
        </w:tc>
        <w:tc>
          <w:tcPr>
            <w:tcW w:w="706" w:type="dxa"/>
            <w:tcBorders/>
            <w:tcMar>
              <w:bottom w:w="0"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153" w:type="dxa"/>
            <w:tcBorders/>
            <w:tcMar>
              <w:bottom w:w="0" w:type="dxa"/>
            </w:tcMar>
            <w:vAlign w:val="center"/>
          </w:tcPr>
          <w:p>
            <w:pPr>
              <w:pStyle w:val="TableContents"/>
              <w:pBdr/>
              <w:bidi w:val="0"/>
              <w:spacing w:lineRule="auto" w:line="285"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Unaudited Interim Condensed Consolidated Financial Statements</w:t>
              </w:r>
            </w:hyperlink>
          </w:p>
        </w:tc>
        <w:tc>
          <w:tcPr>
            <w:tcW w:w="346" w:type="dxa"/>
            <w:tcBorders/>
            <w:tcMar>
              <w:bottom w:w="0" w:type="dxa"/>
            </w:tcMar>
            <w:vAlign w:val="center"/>
          </w:tcPr>
          <w:p>
            <w:pPr>
              <w:pStyle w:val="TableContents"/>
              <w:bidi w:val="0"/>
              <w:spacing w:lineRule="auto" w:line="304" w:before="0" w:after="160"/>
              <w:ind w:left="0" w:right="0" w:hanging="0"/>
              <w:jc w:val="left"/>
              <w:rPr/>
            </w:pPr>
            <w:r>
              <w:rPr/>
              <w:t>​</w:t>
            </w:r>
          </w:p>
        </w:tc>
        <w:tc>
          <w:tcPr>
            <w:tcW w:w="706" w:type="dxa"/>
            <w:tcBorders/>
            <w:tcMar>
              <w:bottom w:w="0"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20"/>
        </w:rPr>
      </w:pPr>
      <w:bookmarkStart w:id="12" w:name="_cb2449bc_1cd4_4a02_95de_4b30c37f8ec8"/>
      <w:bookmarkEnd w:id="12"/>
      <w:r>
        <w:rPr>
          <w:rFonts w:ascii="Times New Roman;Times;serif" w:hAnsi="Times New Roman;Times;serif"/>
          <w:b/>
          <w:sz w:val="20"/>
        </w:rPr>
        <w:t>ADAGENE INC.</w:t>
      </w:r>
    </w:p>
    <w:p>
      <w:pPr>
        <w:pStyle w:val="TextBody"/>
        <w:bidi w:val="0"/>
        <w:spacing w:lineRule="auto" w:line="285" w:before="0" w:after="120"/>
        <w:ind w:left="0" w:right="0" w:hanging="0"/>
        <w:jc w:val="center"/>
        <w:rPr>
          <w:rFonts w:ascii="Times New Roman;Times;serif" w:hAnsi="Times New Roman;Times;serif"/>
          <w:b/>
          <w:sz w:val="20"/>
        </w:rPr>
      </w:pPr>
      <w:bookmarkStart w:id="13" w:name="CONSOLIDATEDBALANCESHEETS_305472"/>
      <w:bookmarkEnd w:id="13"/>
      <w:r>
        <w:rPr>
          <w:rFonts w:ascii="Times New Roman;Times;serif" w:hAnsi="Times New Roman;Times;serif"/>
          <w:b/>
          <w:sz w:val="20"/>
        </w:rPr>
        <w:t>UNAUDITED INTERIM CONDENSED 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OF DECEMBER 31, 2025 AND JUNE 30, 2026</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 w:name="Tc_6lRaBkEHrk6E--J24h8sfw_37_0"/>
      <w:bookmarkStart w:id="15" w:name="Tc_46UVFMUD602cEbxdNUMIUQ_36_0"/>
      <w:bookmarkStart w:id="16" w:name="Tc_osgKSzEO50mPJ0bBqFtTBQ_35_0"/>
      <w:bookmarkStart w:id="17" w:name="Tc_4nYF9FAWY0aMSyGKrO7ZIw_34_0"/>
      <w:bookmarkStart w:id="18" w:name="Tc_9mqAC9yiRUOhmKHlHzrrVA_33_0"/>
      <w:bookmarkStart w:id="19" w:name="Tc_kkXyVMh-fEGwi7gFYpYyCQ_32_2"/>
      <w:bookmarkStart w:id="20" w:name="Tc_sU_5ev56I0WX8lV3d0Cj0g_32_0"/>
      <w:bookmarkStart w:id="21" w:name="Tc_qCqF9xiZoE6MZAi4U_ABug_31_0"/>
      <w:bookmarkStart w:id="22" w:name="Tc_gNmjHMzdpUCWLR_t4NzwZQ_30_2"/>
      <w:bookmarkStart w:id="23" w:name="Tc_one3BW0Bm0qzb_xu0gx0fg_30_0"/>
      <w:bookmarkStart w:id="24" w:name="Tc_ZK5LCBlDokWGKeuRrkrxRQ_29_0"/>
      <w:bookmarkStart w:id="25" w:name="Tc_Sc0kpCiRJkaUpXkIyHWx9A_28_2"/>
      <w:bookmarkStart w:id="26" w:name="Tc_KGQbRh5aJE6c5cORHqtjRw_28_0"/>
      <w:bookmarkStart w:id="27" w:name="Tc_t3hDIr6W1k2aHgjmchHmsQ_27_2"/>
      <w:bookmarkStart w:id="28" w:name="Tc_ki7-q0wp30OuwNW7X6td9A_27_0"/>
      <w:bookmarkStart w:id="29" w:name="Tc_bKFLBiiYVEi50Rg8-Dva8Q_26_0"/>
      <w:bookmarkStart w:id="30" w:name="Tc_sFAOWKOXuEy3wRkInvX7mw_25_2"/>
      <w:bookmarkStart w:id="31" w:name="Tc_JTN85YzcyU-HbsJSh_yYwg_25_0"/>
      <w:bookmarkStart w:id="32" w:name="Tc_la4hSwBGDEOB1UMzwFmCyw_24_2"/>
      <w:bookmarkStart w:id="33" w:name="Tc_nkIpASe1WkaBpkuykjk2mg_24_0"/>
      <w:bookmarkStart w:id="34" w:name="Tc_Y4ULcqtLS06z10_96lpnPQ_23_2"/>
      <w:bookmarkStart w:id="35" w:name="Tc_2V1JVqus20uqNOgB7a5PZA_23_0"/>
      <w:bookmarkStart w:id="36" w:name="Tc_AwI-M5MHU0ewC9f6iBbKfA_22_2"/>
      <w:bookmarkStart w:id="37" w:name="Tc_eUfnxEg7iUW6kxvpbX_HkQ_22_0"/>
      <w:bookmarkStart w:id="38" w:name="Tc_nJqbirvt1kGVkQtqwerOdA_21_6"/>
      <w:bookmarkStart w:id="39" w:name="Tc_cli6cSHbsEiENNIGqgG2sw_21_2"/>
      <w:bookmarkStart w:id="40" w:name="Tc_HqzsNi6-S0m0PYJ1GKSjZg_21_0"/>
      <w:bookmarkStart w:id="41" w:name="Tc_2OunOqpIV0SheMXZZpxETw_20_2"/>
      <w:bookmarkStart w:id="42" w:name="Tc_BYd-pFkHR0utmQ2SJlVO8A_20_0"/>
      <w:bookmarkStart w:id="43" w:name="Tc_YoBl3bNr7ESEyGAei6tmHw_19_6"/>
      <w:bookmarkStart w:id="44" w:name="Tc_nnNxajw-okuD_Gq_Ay-b0A_19_2"/>
      <w:bookmarkStart w:id="45" w:name="Tc_zD7BrbzH3kmIjdJyGa3dKA_18_0"/>
      <w:bookmarkStart w:id="46" w:name="Tc_LViTHAT5TEGc87P2R0TbQg_17_0"/>
      <w:bookmarkStart w:id="47" w:name="Tc_IoJEGTEcw0O6AZF0FZxMag_16_0"/>
      <w:bookmarkStart w:id="48" w:name="Tc_z3hWrvJvY0-a41SFo7jaKQ_15_0"/>
      <w:bookmarkStart w:id="49" w:name="Tc_U1muEMv2mEGKnuiwTn2yww_14_0"/>
      <w:bookmarkStart w:id="50" w:name="Tc_9E9sKoMy6kqPHS4mfrFzcw_13_0"/>
      <w:bookmarkStart w:id="51" w:name="Tc_oRYIbdC_I0e0asznt1rdOg_12_2"/>
      <w:bookmarkStart w:id="52" w:name="Tc_19PCxoN8q0WQltWEWopxcg_12_0"/>
      <w:bookmarkStart w:id="53" w:name="Tc_DQj4_8nu5EaTjPYk4a6fYQ_11_2"/>
      <w:bookmarkStart w:id="54" w:name="Tc_bnv0BmZLGkCiNIeTVZ5bQQ_11_0"/>
      <w:bookmarkStart w:id="55" w:name="Tc_aa2WnGDECkmkWvGQLls3iw_10_0"/>
      <w:bookmarkStart w:id="56" w:name="Tc_vaGlReC0xEe36g36atcPsg_9_2"/>
      <w:bookmarkStart w:id="57" w:name="Tc_8Tu6Nu6rOU-dOgmT2JK6nQ_9_0"/>
      <w:bookmarkStart w:id="58" w:name="Tc_CoeFUQeSFEGKpyGo0gIkSA_8_2"/>
      <w:bookmarkStart w:id="59" w:name="Tc_F30EtG1W80qOH647mBCJBQ_7_4"/>
      <w:bookmarkStart w:id="60" w:name="Tc__qXppeWVmk-9l4JyU7M5uQ_7_2"/>
      <w:bookmarkStart w:id="61" w:name="Tc_SuFIZbkuJkmwKtzPYtYgPA_7_0"/>
      <w:bookmarkStart w:id="62" w:name="Tc_aAcRYlxiJkyYSM8Y0Zq8pw_6_0"/>
      <w:bookmarkStart w:id="63" w:name="Tc_tBEtFkWWF0OSSpEV2LIJGQ_5_0"/>
      <w:bookmarkStart w:id="64" w:name="Tc_4I5yk-dq5kmP3pPeiarf2A_4_0"/>
      <w:bookmarkStart w:id="65" w:name="Tc_HDtJw2WJyk6i_xu4y72qKg_3_6"/>
      <w:bookmarkStart w:id="66" w:name="Tc_8rC7QfQFyEauxhzHMeaS7Q_3_4"/>
      <w:bookmarkStart w:id="67" w:name="Tc_bxqlHRI0UE-RzhX_aPlb-g_2_6"/>
      <w:bookmarkStart w:id="68" w:name="Tc_ookGnubrmUeI2SW-BuMHig_2_4"/>
      <w:bookmarkStart w:id="69" w:name="Tc_9Mgov5OZEEKuoeiRCowWQA_2_2"/>
      <w:bookmarkStart w:id="70" w:name="Tc__UrfWa8Q50uA69YU2qg7jw_1_6"/>
      <w:bookmarkStart w:id="71" w:name="Tc_GFEhAtFAbkGIqd_lV2hC5g_1_4"/>
      <w:bookmarkStart w:id="72" w:name="_18c1d574_9f07_43eb_833f_a93411c728a2"/>
      <w:bookmarkStart w:id="73" w:name="Tc_6lRaBkEHrk6E--J24h8sfw_37_0"/>
      <w:bookmarkStart w:id="74" w:name="Tc_46UVFMUD602cEbxdNUMIUQ_36_0"/>
      <w:bookmarkStart w:id="75" w:name="Tc_osgKSzEO50mPJ0bBqFtTBQ_35_0"/>
      <w:bookmarkStart w:id="76" w:name="Tc_4nYF9FAWY0aMSyGKrO7ZIw_34_0"/>
      <w:bookmarkStart w:id="77" w:name="Tc_9mqAC9yiRUOhmKHlHzrrVA_33_0"/>
      <w:bookmarkStart w:id="78" w:name="Tc_kkXyVMh-fEGwi7gFYpYyCQ_32_2"/>
      <w:bookmarkStart w:id="79" w:name="Tc_sU_5ev56I0WX8lV3d0Cj0g_32_0"/>
      <w:bookmarkStart w:id="80" w:name="Tc_qCqF9xiZoE6MZAi4U_ABug_31_0"/>
      <w:bookmarkStart w:id="81" w:name="Tc_gNmjHMzdpUCWLR_t4NzwZQ_30_2"/>
      <w:bookmarkStart w:id="82" w:name="Tc_one3BW0Bm0qzb_xu0gx0fg_30_0"/>
      <w:bookmarkStart w:id="83" w:name="Tc_ZK5LCBlDokWGKeuRrkrxRQ_29_0"/>
      <w:bookmarkStart w:id="84" w:name="Tc_Sc0kpCiRJkaUpXkIyHWx9A_28_2"/>
      <w:bookmarkStart w:id="85" w:name="Tc_KGQbRh5aJE6c5cORHqtjRw_28_0"/>
      <w:bookmarkStart w:id="86" w:name="Tc_t3hDIr6W1k2aHgjmchHmsQ_27_2"/>
      <w:bookmarkStart w:id="87" w:name="Tc_ki7-q0wp30OuwNW7X6td9A_27_0"/>
      <w:bookmarkStart w:id="88" w:name="Tc_bKFLBiiYVEi50Rg8-Dva8Q_26_0"/>
      <w:bookmarkStart w:id="89" w:name="Tc_sFAOWKOXuEy3wRkInvX7mw_25_2"/>
      <w:bookmarkStart w:id="90" w:name="Tc_JTN85YzcyU-HbsJSh_yYwg_25_0"/>
      <w:bookmarkStart w:id="91" w:name="Tc_la4hSwBGDEOB1UMzwFmCyw_24_2"/>
      <w:bookmarkStart w:id="92" w:name="Tc_nkIpASe1WkaBpkuykjk2mg_24_0"/>
      <w:bookmarkStart w:id="93" w:name="Tc_Y4ULcqtLS06z10_96lpnPQ_23_2"/>
      <w:bookmarkStart w:id="94" w:name="Tc_2V1JVqus20uqNOgB7a5PZA_23_0"/>
      <w:bookmarkStart w:id="95" w:name="Tc_AwI-M5MHU0ewC9f6iBbKfA_22_2"/>
      <w:bookmarkStart w:id="96" w:name="Tc_eUfnxEg7iUW6kxvpbX_HkQ_22_0"/>
      <w:bookmarkStart w:id="97" w:name="Tc_nJqbirvt1kGVkQtqwerOdA_21_6"/>
      <w:bookmarkStart w:id="98" w:name="Tc_cli6cSHbsEiENNIGqgG2sw_21_2"/>
      <w:bookmarkStart w:id="99" w:name="Tc_HqzsNi6-S0m0PYJ1GKSjZg_21_0"/>
      <w:bookmarkStart w:id="100" w:name="Tc_2OunOqpIV0SheMXZZpxETw_20_2"/>
      <w:bookmarkStart w:id="101" w:name="Tc_BYd-pFkHR0utmQ2SJlVO8A_20_0"/>
      <w:bookmarkStart w:id="102" w:name="Tc_YoBl3bNr7ESEyGAei6tmHw_19_6"/>
      <w:bookmarkStart w:id="103" w:name="Tc_nnNxajw-okuD_Gq_Ay-b0A_19_2"/>
      <w:bookmarkStart w:id="104" w:name="Tc_zD7BrbzH3kmIjdJyGa3dKA_18_0"/>
      <w:bookmarkStart w:id="105" w:name="Tc_LViTHAT5TEGc87P2R0TbQg_17_0"/>
      <w:bookmarkStart w:id="106" w:name="Tc_IoJEGTEcw0O6AZF0FZxMag_16_0"/>
      <w:bookmarkStart w:id="107" w:name="Tc_z3hWrvJvY0-a41SFo7jaKQ_15_0"/>
      <w:bookmarkStart w:id="108" w:name="Tc_U1muEMv2mEGKnuiwTn2yww_14_0"/>
      <w:bookmarkStart w:id="109" w:name="Tc_9E9sKoMy6kqPHS4mfrFzcw_13_0"/>
      <w:bookmarkStart w:id="110" w:name="Tc_oRYIbdC_I0e0asznt1rdOg_12_2"/>
      <w:bookmarkStart w:id="111" w:name="Tc_19PCxoN8q0WQltWEWopxcg_12_0"/>
      <w:bookmarkStart w:id="112" w:name="Tc_DQj4_8nu5EaTjPYk4a6fYQ_11_2"/>
      <w:bookmarkStart w:id="113" w:name="Tc_bnv0BmZLGkCiNIeTVZ5bQQ_11_0"/>
      <w:bookmarkStart w:id="114" w:name="Tc_aa2WnGDECkmkWvGQLls3iw_10_0"/>
      <w:bookmarkStart w:id="115" w:name="Tc_vaGlReC0xEe36g36atcPsg_9_2"/>
      <w:bookmarkStart w:id="116" w:name="Tc_8Tu6Nu6rOU-dOgmT2JK6nQ_9_0"/>
      <w:bookmarkStart w:id="117" w:name="Tc_CoeFUQeSFEGKpyGo0gIkSA_8_2"/>
      <w:bookmarkStart w:id="118" w:name="Tc_F30EtG1W80qOH647mBCJBQ_7_4"/>
      <w:bookmarkStart w:id="119" w:name="Tc__qXppeWVmk-9l4JyU7M5uQ_7_2"/>
      <w:bookmarkStart w:id="120" w:name="Tc_SuFIZbkuJkmwKtzPYtYgPA_7_0"/>
      <w:bookmarkStart w:id="121" w:name="Tc_aAcRYlxiJkyYSM8Y0Zq8pw_6_0"/>
      <w:bookmarkStart w:id="122" w:name="Tc_tBEtFkWWF0OSSpEV2LIJGQ_5_0"/>
      <w:bookmarkStart w:id="123" w:name="Tc_4I5yk-dq5kmP3pPeiarf2A_4_0"/>
      <w:bookmarkStart w:id="124" w:name="Tc_HDtJw2WJyk6i_xu4y72qKg_3_6"/>
      <w:bookmarkStart w:id="125" w:name="Tc_8rC7QfQFyEauxhzHMeaS7Q_3_4"/>
      <w:bookmarkStart w:id="126" w:name="Tc_bxqlHRI0UE-RzhX_aPlb-g_2_6"/>
      <w:bookmarkStart w:id="127" w:name="Tc_ookGnubrmUeI2SW-BuMHig_2_4"/>
      <w:bookmarkStart w:id="128" w:name="Tc_9Mgov5OZEEKuoeiRCowWQA_2_2"/>
      <w:bookmarkStart w:id="129" w:name="Tc__UrfWa8Q50uA69YU2qg7jw_1_6"/>
      <w:bookmarkStart w:id="130" w:name="Tc_GFEhAtFAbkGIqd_lV2hC5g_1_4"/>
      <w:bookmarkStart w:id="131" w:name="_18c1d574_9f07_43eb_833f_a93411c728a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bl>
      <w:tblPr>
        <w:tblW w:w="10205" w:type="dxa"/>
        <w:jc w:val="left"/>
        <w:tblInd w:w="0" w:type="dxa"/>
        <w:tblLayout w:type="fixed"/>
        <w:tblCellMar>
          <w:top w:w="0" w:type="dxa"/>
          <w:left w:w="0" w:type="dxa"/>
          <w:bottom w:w="0" w:type="dxa"/>
          <w:right w:w="0" w:type="dxa"/>
        </w:tblCellMar>
      </w:tblPr>
      <w:tblGrid>
        <w:gridCol w:w="6301"/>
        <w:gridCol w:w="286"/>
        <w:gridCol w:w="511"/>
        <w:gridCol w:w="346"/>
        <w:gridCol w:w="1228"/>
        <w:gridCol w:w="346"/>
        <w:gridCol w:w="1187"/>
      </w:tblGrid>
      <w:tr>
        <w:trPr/>
        <w:tc>
          <w:tcPr>
            <w:tcW w:w="6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001135" cy="175260"/>
                      <wp:effectExtent l="0" t="0" r="0" b="0"/>
                      <wp:wrapNone/>
                      <wp:docPr id="32" name="Frame22"/>
                      <a:graphic xmlns:a="http://schemas.openxmlformats.org/drawingml/2006/main">
                        <a:graphicData uri="http://schemas.microsoft.com/office/word/2010/wordprocessingShape">
                          <wps:wsp>
                            <wps:cNvSpPr txBox="1"/>
                            <wps:spPr>
                              <a:xfrm>
                                <a:off x="0" y="0"/>
                                <a:ext cx="40011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81610" cy="175260"/>
                      <wp:effectExtent l="0" t="0" r="0" b="0"/>
                      <wp:wrapNone/>
                      <wp:docPr id="33" name="Frame2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24485" cy="175260"/>
                      <wp:effectExtent l="0" t="0" r="0" b="0"/>
                      <wp:wrapNone/>
                      <wp:docPr id="34" name="Frame2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79780" cy="175260"/>
                      <wp:effectExtent l="0" t="0" r="0" b="0"/>
                      <wp:wrapNone/>
                      <wp:docPr id="36" name="Frame26"/>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53745" cy="175260"/>
                      <wp:effectExtent l="0" t="0" r="0" b="0"/>
                      <wp:wrapNone/>
                      <wp:docPr id="38" name="Frame28"/>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6301" w:type="dxa"/>
            <w:tcBorders/>
            <w:vAlign w:val="center"/>
          </w:tcPr>
          <w:p>
            <w:pPr>
              <w:pStyle w:val="TableContents"/>
              <w:bidi w:val="0"/>
              <w:spacing w:lineRule="auto" w:line="304" w:before="0" w:after="160"/>
              <w:ind w:left="0" w:right="0" w:hanging="0"/>
              <w:jc w:val="left"/>
              <w:rPr/>
            </w:pPr>
            <w:r>
              <w:rPr/>
              <w:t>​</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46" w:type="dxa"/>
            <w:tcBorders/>
            <w:vAlign w:val="center"/>
          </w:tcPr>
          <w:p>
            <w:pPr>
              <w:pStyle w:val="TableContents"/>
              <w:bidi w:val="0"/>
              <w:spacing w:lineRule="auto" w:line="304" w:before="0" w:after="160"/>
              <w:ind w:left="0" w:right="0" w:hanging="0"/>
              <w:jc w:val="lef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6301" w:type="dxa"/>
            <w:tcBorders/>
            <w:vAlign w:val="center"/>
          </w:tcPr>
          <w:p>
            <w:pPr>
              <w:pStyle w:val="TableContents"/>
              <w:bidi w:val="0"/>
              <w:spacing w:lineRule="auto" w:line="304" w:before="0" w:after="160"/>
              <w:ind w:left="0" w:right="0" w:hanging="0"/>
              <w:jc w:val="left"/>
              <w:rPr/>
            </w:pPr>
            <w:r>
              <w:rPr/>
              <w:t>​</w:t>
            </w:r>
          </w:p>
        </w:tc>
        <w:tc>
          <w:tcPr>
            <w:tcW w:w="286" w:type="dxa"/>
            <w:tcBorders/>
            <w:vAlign w:val="center"/>
          </w:tcPr>
          <w:p>
            <w:pPr>
              <w:pStyle w:val="TableContents"/>
              <w:bidi w:val="0"/>
              <w:spacing w:lineRule="auto" w:line="304" w:before="0" w:after="1"/>
              <w:ind w:left="0" w:right="0" w:hanging="0"/>
              <w:jc w:val="right"/>
              <w:rPr/>
            </w:pPr>
            <w:r>
              <w:rPr/>
              <w:t>  ​ ​</w:t>
            </w:r>
          </w:p>
        </w:tc>
        <w:tc>
          <w:tcPr>
            <w:tcW w:w="51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4" w:before="0" w:after="1"/>
              <w:ind w:left="0" w:right="0" w:hanging="0"/>
              <w:jc w:val="right"/>
              <w:rPr/>
            </w:pPr>
            <w:r>
              <w:rPr/>
              <w:t>  ​ ​ ​</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right"/>
              <w:rPr/>
            </w:pPr>
            <w:r>
              <w:rPr/>
              <w:t>  ​ ​ ​</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301" w:type="dxa"/>
            <w:tcBorders/>
            <w:vAlign w:val="center"/>
          </w:tcPr>
          <w:p>
            <w:pPr>
              <w:pStyle w:val="TableContents"/>
              <w:bidi w:val="0"/>
              <w:spacing w:lineRule="auto" w:line="304" w:before="0" w:after="160"/>
              <w:ind w:left="0" w:right="0" w:hanging="0"/>
              <w:jc w:val="left"/>
              <w:rPr/>
            </w:pPr>
            <w:r>
              <w:rPr/>
              <w:t>​</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286" w:type="dxa"/>
            <w:tcBorders/>
            <w:shd w:fill="CCEEFF" w:val="clear"/>
            <w:vAlign w:val="center"/>
          </w:tcPr>
          <w:p>
            <w:pPr>
              <w:pStyle w:val="TableContents"/>
              <w:bidi w:val="0"/>
              <w:spacing w:lineRule="auto" w:line="304" w:before="0" w:after="1"/>
              <w:ind w:left="0" w:right="0" w:hanging="0"/>
              <w:jc w:val="right"/>
              <w:rPr/>
            </w:pPr>
            <w:r>
              <w:rPr/>
              <w:t> </w:t>
            </w:r>
          </w:p>
        </w:tc>
        <w:tc>
          <w:tcPr>
            <w:tcW w:w="511" w:type="dxa"/>
            <w:tcBorders/>
            <w:shd w:fill="CCEEFF" w:val="clear"/>
            <w:vAlign w:val="center"/>
          </w:tcPr>
          <w:p>
            <w:pPr>
              <w:pStyle w:val="TableContents"/>
              <w:bidi w:val="0"/>
              <w:spacing w:lineRule="auto" w:line="304" w:before="0" w:after="1"/>
              <w:ind w:left="0" w:right="0" w:hanging="0"/>
              <w:jc w:val="center"/>
              <w:rPr/>
            </w:pPr>
            <w:r>
              <w:rPr/>
              <w:t>  ​</w:t>
            </w:r>
          </w:p>
        </w:tc>
        <w:tc>
          <w:tcPr>
            <w:tcW w:w="346" w:type="dxa"/>
            <w:tcBorders/>
            <w:shd w:fill="CCEEFF" w:val="clear"/>
            <w:vAlign w:val="center"/>
          </w:tcPr>
          <w:p>
            <w:pPr>
              <w:pStyle w:val="TableContents"/>
              <w:bidi w:val="0"/>
              <w:spacing w:lineRule="auto" w:line="304" w:before="0" w:after="1"/>
              <w:ind w:left="0" w:right="0" w:hanging="0"/>
              <w:jc w:val="right"/>
              <w:rPr/>
            </w:pPr>
            <w:r>
              <w:rPr/>
              <w:t> </w:t>
            </w:r>
          </w:p>
        </w:tc>
        <w:tc>
          <w:tcPr>
            <w:tcW w:w="1228"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60"/>
              <w:ind w:left="0" w:right="0" w:hanging="0"/>
              <w:jc w:val="right"/>
              <w:rPr/>
            </w:pPr>
            <w:r>
              <w:rPr/>
              <w:t>​</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74,523,782</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127,909,840</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150,000</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17,349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2,834,034</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4,345,758</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77,375,165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132,408,623</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717,374</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716,616</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145,535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390,535</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25,223</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59,794</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78,263,297</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133,575,568</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60"/>
              <w:ind w:left="0" w:right="0" w:hanging="0"/>
              <w:jc w:val="right"/>
              <w:rPr/>
            </w:pPr>
            <w:r>
              <w:rPr/>
              <w:t>​</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2,884,507</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15,538,937</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3,462,683</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2,182,770</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10,347,200</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pPr>
            <w:r>
              <w:rPr/>
              <w:t>—</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Accruals and other current liabilities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2,790,794</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2,580,704</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410,198</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pPr>
            <w:r>
              <w:rPr/>
              <w:t>—</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205,146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1,178,702</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4,268,154</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4,404,704</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711,359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293,647</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92,055</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181,733</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25,172,096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26,361,197</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1,138,174</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1,027,764</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53,480</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183,189</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26,363,750</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27,572,150</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60"/>
              <w:ind w:left="0" w:right="0" w:hanging="0"/>
              <w:jc w:val="right"/>
              <w:rPr/>
            </w:pPr>
            <w:r>
              <w:rPr/>
              <w:t>​</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2"/>
              </w:rPr>
            </w:pPr>
            <w:r>
              <w:rPr>
                <w:rFonts w:ascii="Times New Roman;Times;serif" w:hAnsi="Times New Roman;Times;serif"/>
                <w:sz w:val="20"/>
              </w:rPr>
              <w:t>Series A non-voting contingently redeemable convertible preferred shares (par value of US$0.0001</w:t>
            </w:r>
            <w:r>
              <w:rPr>
                <w:rFonts w:ascii="Times New Roman;Times;serif" w:hAnsi="Times New Roman;Times;serif"/>
                <w:sz w:val="22"/>
              </w:rPr>
              <w:t xml:space="preserve"> </w:t>
            </w:r>
            <w:r>
              <w:rPr>
                <w:rFonts w:ascii="Times New Roman;Times;serif" w:hAnsi="Times New Roman;Times;serif"/>
                <w:sz w:val="20"/>
              </w:rPr>
              <w:t>per share; and 1,062,500</w:t>
            </w:r>
            <w:r>
              <w:rPr>
                <w:rFonts w:ascii="Times New Roman;Times;serif" w:hAnsi="Times New Roman;Times;serif"/>
                <w:sz w:val="22"/>
              </w:rPr>
              <w:t xml:space="preserve"> </w:t>
            </w:r>
            <w:r>
              <w:rPr>
                <w:rFonts w:ascii="Times New Roman;Times;serif" w:hAnsi="Times New Roman;Times;serif"/>
                <w:sz w:val="20"/>
              </w:rPr>
              <w:t xml:space="preserve">shares authorized, </w:t>
            </w:r>
            <w:r>
              <w:rPr>
                <w:rFonts w:ascii="Times New Roman;Times;serif" w:hAnsi="Times New Roman;Times;serif"/>
                <w:b w:val="false"/>
                <w:i w:val="false"/>
                <w:caps w:val="false"/>
                <w:smallCaps w:val="false"/>
                <w:sz w:val="20"/>
              </w:rPr>
              <w:t>issued</w:t>
            </w:r>
            <w:r>
              <w:rPr>
                <w:rFonts w:ascii="Times New Roman;Times;serif" w:hAnsi="Times New Roman;Times;serif"/>
                <w:sz w:val="22"/>
              </w:rPr>
              <w:t xml:space="preserve">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outstanding</w:t>
            </w:r>
            <w:r>
              <w:rPr>
                <w:rFonts w:ascii="Times New Roman;Times;serif" w:hAnsi="Times New Roman;Times;serif"/>
                <w:sz w:val="22"/>
              </w:rPr>
              <w:t xml:space="preserve"> </w:t>
            </w:r>
            <w:r>
              <w:rPr>
                <w:rFonts w:ascii="Times New Roman;Times;serif" w:hAnsi="Times New Roman;Times;serif"/>
                <w:sz w:val="20"/>
              </w:rPr>
              <w:t>as of December 31, 2025 and June 30, 2026, respectively)</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16,550,000</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16,550,000</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16,550,000</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16,550,000</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2"/>
              </w:rPr>
            </w:pPr>
            <w:r>
              <w:rPr>
                <w:rFonts w:ascii="Times New Roman;Times;serif" w:hAnsi="Times New Roman;Times;serif"/>
                <w:sz w:val="20"/>
              </w:rPr>
              <w:t>Ordinary shares (par value of US$0.0001</w:t>
            </w:r>
            <w:r>
              <w:rPr>
                <w:rFonts w:ascii="Times New Roman;Times;serif" w:hAnsi="Times New Roman;Times;serif"/>
                <w:sz w:val="22"/>
              </w:rPr>
              <w:t xml:space="preserve"> </w:t>
            </w:r>
            <w:r>
              <w:rPr>
                <w:rFonts w:ascii="Times New Roman;Times;serif" w:hAnsi="Times New Roman;Times;serif"/>
                <w:sz w:val="20"/>
              </w:rPr>
              <w:t>per share; 640,000,000</w:t>
            </w:r>
            <w:r>
              <w:rPr>
                <w:rFonts w:ascii="Times New Roman;Times;serif" w:hAnsi="Times New Roman;Times;serif"/>
                <w:sz w:val="22"/>
              </w:rPr>
              <w:t xml:space="preserve"> </w:t>
            </w:r>
            <w:r>
              <w:rPr>
                <w:rFonts w:ascii="Times New Roman;Times;serif" w:hAnsi="Times New Roman;Times;serif"/>
                <w:sz w:val="20"/>
              </w:rPr>
              <w:t>shares authorized, and 59,231,993</w:t>
            </w:r>
            <w:r>
              <w:rPr>
                <w:rFonts w:ascii="Times New Roman;Times;serif" w:hAnsi="Times New Roman;Times;serif"/>
                <w:sz w:val="22"/>
              </w:rPr>
              <w:t xml:space="preserve"> </w:t>
            </w:r>
            <w:r>
              <w:rPr>
                <w:rFonts w:ascii="Times New Roman;Times;serif" w:hAnsi="Times New Roman;Times;serif"/>
                <w:sz w:val="20"/>
              </w:rPr>
              <w:t xml:space="preserve">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2"/>
              </w:rPr>
              <w:t xml:space="preserve"> </w:t>
            </w:r>
            <w:r>
              <w:rPr>
                <w:rFonts w:ascii="Times New Roman;Times;serif" w:hAnsi="Times New Roman;Times;serif"/>
                <w:sz w:val="20"/>
              </w:rPr>
              <w:t>as of December 31, 2025; and 640,000,000</w:t>
            </w:r>
            <w:r>
              <w:rPr>
                <w:rFonts w:ascii="Times New Roman;Times;serif" w:hAnsi="Times New Roman;Times;serif"/>
                <w:sz w:val="22"/>
              </w:rPr>
              <w:t xml:space="preserve"> </w:t>
            </w:r>
            <w:r>
              <w:rPr>
                <w:rFonts w:ascii="Times New Roman;Times;serif" w:hAnsi="Times New Roman;Times;serif"/>
                <w:sz w:val="20"/>
              </w:rPr>
              <w:t>shares authorized, and 83,929,180</w:t>
            </w:r>
            <w:r>
              <w:rPr>
                <w:rFonts w:ascii="Times New Roman;Times;serif" w:hAnsi="Times New Roman;Times;serif"/>
                <w:sz w:val="22"/>
              </w:rPr>
              <w:t xml:space="preserve"> </w:t>
            </w:r>
            <w:r>
              <w:rPr>
                <w:rFonts w:ascii="Times New Roman;Times;serif" w:hAnsi="Times New Roman;Times;serif"/>
                <w:sz w:val="20"/>
              </w:rPr>
              <w:t xml:space="preserve">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2"/>
              </w:rPr>
              <w:t xml:space="preserve"> </w:t>
            </w:r>
            <w:r>
              <w:rPr>
                <w:rFonts w:ascii="Times New Roman;Times;serif" w:hAnsi="Times New Roman;Times;serif"/>
                <w:sz w:val="20"/>
              </w:rPr>
              <w:t>as of June 30, 2026)</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5,923</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8,393</w:t>
            </w:r>
          </w:p>
        </w:tc>
      </w:tr>
      <w:tr>
        <w:trPr/>
        <w:tc>
          <w:tcPr>
            <w:tcW w:w="630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86" w:type="dxa"/>
            <w:tcBorders/>
            <w:shd w:fill="CCEEFF" w:val="clear"/>
            <w:vAlign w:val="center"/>
          </w:tcPr>
          <w:p>
            <w:pPr>
              <w:pStyle w:val="TableContents"/>
              <w:bidi w:val="0"/>
              <w:spacing w:lineRule="auto" w:line="304" w:before="0" w:after="160"/>
              <w:ind w:left="0" w:right="0" w:hanging="0"/>
              <w:jc w:val="righ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2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366,043,455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436,768,742</w:t>
            </w:r>
          </w:p>
        </w:tc>
      </w:tr>
      <w:tr>
        <w:trPr/>
        <w:tc>
          <w:tcPr>
            <w:tcW w:w="630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286" w:type="dxa"/>
            <w:tcBorders/>
            <w:vAlign w:val="center"/>
          </w:tcPr>
          <w:p>
            <w:pPr>
              <w:pStyle w:val="TableContents"/>
              <w:bidi w:val="0"/>
              <w:spacing w:lineRule="auto" w:line="304" w:before="0" w:after="160"/>
              <w:ind w:left="0" w:right="0" w:hanging="0"/>
              <w:jc w:val="righ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2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(1,914,831)</w:t>
            </w:r>
          </w:p>
        </w:tc>
        <w:tc>
          <w:tcPr>
            <w:tcW w:w="346" w:type="dxa"/>
            <w:tcBorders/>
            <w:vAlign w:val="center"/>
          </w:tcPr>
          <w:p>
            <w:pPr>
              <w:pStyle w:val="TableContents"/>
              <w:bidi w:val="0"/>
              <w:spacing w:lineRule="auto" w:line="304" w:before="0" w:after="160"/>
              <w:ind w:left="0" w:right="0" w:hanging="0"/>
              <w:jc w:val="right"/>
              <w:rPr/>
            </w:pPr>
            <w:r>
              <w:rPr/>
              <w:t>​</w:t>
            </w:r>
          </w:p>
        </w:tc>
        <w:tc>
          <w:tcPr>
            <w:tcW w:w="118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(2,159,885)</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32" w:name="Tc_aZus8KepTUO__6Q_fr_Gqg_40_0"/>
      <w:bookmarkStart w:id="133" w:name="Tc_eEovRbYnlE-zm6Kg1Trnbg_39_0"/>
      <w:bookmarkStart w:id="134" w:name="Tc_SBmN3evO20ehuopqoWXU6w_38_0"/>
      <w:bookmarkStart w:id="135" w:name="Tc_aZus8KepTUO__6Q_fr_Gqg_40_0"/>
      <w:bookmarkStart w:id="136" w:name="Tc_eEovRbYnlE-zm6Kg1Trnbg_39_0"/>
      <w:bookmarkStart w:id="137" w:name="Tc_SBmN3evO20ehuopqoWXU6w_38_0"/>
      <w:bookmarkEnd w:id="135"/>
      <w:bookmarkEnd w:id="136"/>
      <w:bookmarkEnd w:id="137"/>
    </w:p>
    <w:tbl>
      <w:tblPr>
        <w:tblW w:w="10144" w:type="dxa"/>
        <w:jc w:val="left"/>
        <w:tblInd w:w="0" w:type="dxa"/>
        <w:tblLayout w:type="fixed"/>
        <w:tblCellMar>
          <w:top w:w="0" w:type="dxa"/>
          <w:left w:w="0" w:type="dxa"/>
          <w:bottom w:w="0" w:type="dxa"/>
          <w:right w:w="0" w:type="dxa"/>
        </w:tblCellMar>
      </w:tblPr>
      <w:tblGrid>
        <w:gridCol w:w="7141"/>
        <w:gridCol w:w="109"/>
        <w:gridCol w:w="109"/>
        <w:gridCol w:w="109"/>
        <w:gridCol w:w="1261"/>
        <w:gridCol w:w="109"/>
        <w:gridCol w:w="1306"/>
      </w:tblGrid>
      <w:tr>
        <w:trPr/>
        <w:tc>
          <w:tcPr>
            <w:tcW w:w="714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09" w:type="dxa"/>
            <w:tcBorders/>
            <w:shd w:fill="CCEEFF" w:val="clear"/>
            <w:vAlign w:val="center"/>
          </w:tcPr>
          <w:p>
            <w:pPr>
              <w:pStyle w:val="TableContents"/>
              <w:bidi w:val="0"/>
              <w:spacing w:lineRule="auto" w:line="304" w:before="0" w:after="160"/>
              <w:ind w:left="0" w:right="0" w:hanging="0"/>
              <w:jc w:val="center"/>
              <w:rPr/>
            </w:pPr>
            <w:r>
              <w:rPr/>
              <w:t>​</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26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(328,785,000)</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30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(345,163,832)</w:t>
            </w:r>
          </w:p>
        </w:tc>
      </w:tr>
      <w:tr>
        <w:trPr/>
        <w:tc>
          <w:tcPr>
            <w:tcW w:w="714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109" w:type="dxa"/>
            <w:tcBorders/>
            <w:vAlign w:val="center"/>
          </w:tcPr>
          <w:p>
            <w:pPr>
              <w:pStyle w:val="TableContents"/>
              <w:bidi w:val="0"/>
              <w:spacing w:lineRule="auto" w:line="304" w:before="0" w:after="160"/>
              <w:ind w:left="0" w:right="0" w:hanging="0"/>
              <w:jc w:val="right"/>
              <w:rPr/>
            </w:pPr>
            <w:r>
              <w:rPr/>
              <w:t>​</w:t>
            </w:r>
          </w:p>
        </w:tc>
        <w:tc>
          <w:tcPr>
            <w:tcW w:w="109" w:type="dxa"/>
            <w:tcBorders/>
            <w:vAlign w:val="center"/>
          </w:tcPr>
          <w:p>
            <w:pPr>
              <w:pStyle w:val="TableContents"/>
              <w:bidi w:val="0"/>
              <w:spacing w:lineRule="auto" w:line="304" w:before="0" w:after="160"/>
              <w:ind w:left="0" w:right="0" w:hanging="0"/>
              <w:jc w:val="center"/>
              <w:rPr/>
            </w:pPr>
            <w:r>
              <w:rPr/>
              <w:t>​</w:t>
            </w:r>
          </w:p>
        </w:tc>
        <w:tc>
          <w:tcPr>
            <w:tcW w:w="109" w:type="dxa"/>
            <w:tcBorders/>
            <w:vAlign w:val="center"/>
          </w:tcPr>
          <w:p>
            <w:pPr>
              <w:pStyle w:val="TableContents"/>
              <w:bidi w:val="0"/>
              <w:spacing w:lineRule="auto" w:line="304" w:before="0" w:after="160"/>
              <w:ind w:left="0" w:right="0" w:hanging="0"/>
              <w:jc w:val="right"/>
              <w:rPr/>
            </w:pPr>
            <w:r>
              <w:rPr/>
              <w:t>​</w:t>
            </w:r>
          </w:p>
        </w:tc>
        <w:tc>
          <w:tcPr>
            <w:tcW w:w="126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35,349,547</w:t>
            </w:r>
          </w:p>
        </w:tc>
        <w:tc>
          <w:tcPr>
            <w:tcW w:w="109" w:type="dxa"/>
            <w:tcBorders/>
            <w:vAlign w:val="center"/>
          </w:tcPr>
          <w:p>
            <w:pPr>
              <w:pStyle w:val="TableContents"/>
              <w:bidi w:val="0"/>
              <w:spacing w:lineRule="auto" w:line="304" w:before="0" w:after="160"/>
              <w:ind w:left="0" w:right="0" w:hanging="0"/>
              <w:jc w:val="right"/>
              <w:rPr/>
            </w:pPr>
            <w:r>
              <w:rPr/>
              <w:t>​</w:t>
            </w:r>
          </w:p>
        </w:tc>
        <w:tc>
          <w:tcPr>
            <w:tcW w:w="130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89,453,418</w:t>
            </w:r>
          </w:p>
        </w:tc>
      </w:tr>
      <w:tr>
        <w:trPr/>
        <w:tc>
          <w:tcPr>
            <w:tcW w:w="714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09" w:type="dxa"/>
            <w:tcBorders/>
            <w:shd w:fill="CCEEFF" w:val="clear"/>
            <w:vAlign w:val="center"/>
          </w:tcPr>
          <w:p>
            <w:pPr>
              <w:pStyle w:val="TableContents"/>
              <w:bidi w:val="0"/>
              <w:spacing w:lineRule="auto" w:line="304" w:before="0" w:after="160"/>
              <w:ind w:left="0" w:right="0" w:hanging="0"/>
              <w:jc w:val="center"/>
              <w:rPr/>
            </w:pPr>
            <w:r>
              <w:rPr/>
              <w:t>​</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26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78,263,297</w:t>
            </w:r>
          </w:p>
        </w:tc>
        <w:tc>
          <w:tcPr>
            <w:tcW w:w="109" w:type="dxa"/>
            <w:tcBorders/>
            <w:shd w:fill="CCEEFF" w:val="clear"/>
            <w:vAlign w:val="center"/>
          </w:tcPr>
          <w:p>
            <w:pPr>
              <w:pStyle w:val="TableContents"/>
              <w:bidi w:val="0"/>
              <w:spacing w:lineRule="auto" w:line="304" w:before="0" w:after="160"/>
              <w:ind w:left="0" w:right="0" w:hanging="0"/>
              <w:jc w:val="right"/>
              <w:rPr/>
            </w:pPr>
            <w:r>
              <w:rPr/>
              <w:t>​</w:t>
            </w:r>
          </w:p>
        </w:tc>
        <w:tc>
          <w:tcPr>
            <w:tcW w:w="130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133,575,568</w:t>
            </w:r>
          </w:p>
        </w:tc>
      </w:tr>
    </w:tbl>
    <w:p>
      <w:pPr>
        <w:pStyle w:val="TextBody"/>
        <w:bidi w:val="0"/>
        <w:spacing w:lineRule="auto" w:line="304" w:before="0" w:after="160"/>
        <w:ind w:left="0" w:right="0" w:hanging="0"/>
        <w:jc w:val="left"/>
        <w:rPr/>
      </w:pPr>
      <w:r>
        <w:rPr/>
        <w:t>​</w:t>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lineRule="auto" w:line="285" w:before="0" w:after="240"/>
        <w:ind w:left="0" w:right="0" w:firstLine="720"/>
        <w:jc w:val="center"/>
        <w:rPr/>
      </w:pPr>
      <w:r>
        <w:rPr/>
        <w:t>​</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20"/>
        </w:rPr>
      </w:pPr>
      <w:bookmarkStart w:id="138" w:name="_ebe516b6_f072_4521_a864_7517d7a89e43"/>
      <w:bookmarkEnd w:id="138"/>
      <w:r>
        <w:rPr>
          <w:rFonts w:ascii="Times New Roman;Times;serif" w:hAnsi="Times New Roman;Times;serif"/>
          <w:b/>
          <w:sz w:val="20"/>
        </w:rPr>
        <w:t>ADAGENE INC.</w:t>
      </w:r>
    </w:p>
    <w:p>
      <w:pPr>
        <w:pStyle w:val="TextBody"/>
        <w:bidi w:val="0"/>
        <w:spacing w:lineRule="auto" w:line="285" w:before="0" w:after="120"/>
        <w:ind w:left="0" w:right="0" w:hanging="0"/>
        <w:jc w:val="center"/>
        <w:rPr>
          <w:rFonts w:ascii="Times New Roman;Times;serif" w:hAnsi="Times New Roman;Times;serif"/>
          <w:b/>
          <w:sz w:val="20"/>
        </w:rPr>
      </w:pPr>
      <w:bookmarkStart w:id="139" w:name="CONSOLIDATEDSTATEMENTSOFCOMPREHENSIVELOS"/>
      <w:bookmarkEnd w:id="139"/>
      <w:r>
        <w:rPr>
          <w:rFonts w:ascii="Times New Roman;Times;serif" w:hAnsi="Times New Roman;Times;serif"/>
          <w:b/>
          <w:sz w:val="20"/>
        </w:rPr>
        <w:t>UNAUDITED INTERIM CONDENSED CONSOLIDATED STATEMENTS OF COMPREHENSIVE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2025 AND 2026</w:t>
      </w:r>
    </w:p>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140" w:name="Tc_d_ZG8uLkhkiJczqDYQf2Xg_29_2"/>
      <w:bookmarkStart w:id="141" w:name="Tc_TBNHHyw6yUqFAuvb6ZGU_w_29_0"/>
      <w:bookmarkStart w:id="142" w:name="Tc_jpguL2kPrkS73i9U2JJg-w_28_2"/>
      <w:bookmarkStart w:id="143" w:name="Tc_rjZdIB0g6kaST8ne0_ofUQ_28_0"/>
      <w:bookmarkStart w:id="144" w:name="Tc_yzs-3I3W3ESKtpUc1u85Xg_27_0"/>
      <w:bookmarkStart w:id="145" w:name="Tc_J2XhMFcq302McnVRuEwVTw_26_2"/>
      <w:bookmarkStart w:id="146" w:name="Tc_5okW0_LH40S5SHHSGnZTWQ_26_0"/>
      <w:bookmarkStart w:id="147" w:name="Tc_8UHMkimMTkGjQrpiGenwXQ_25_2"/>
      <w:bookmarkStart w:id="148" w:name="Tc_Bfv-KVCUOk67iCCkZvy_gQ_25_0"/>
      <w:bookmarkStart w:id="149" w:name="Tc_BfMvxmaQp0qFSKtjCMbnnA_24_0"/>
      <w:bookmarkStart w:id="150" w:name="Tc_JpYww_58f0KIgCRzZtYIAw_23_0"/>
      <w:bookmarkStart w:id="151" w:name="Tc_MKLEaNUyQU-wC52LoJNb5Q_22_0"/>
      <w:bookmarkStart w:id="152" w:name="Tc_MDIs-GjrOUG7R21hl4itdw_21_0"/>
      <w:bookmarkStart w:id="153" w:name="Tc_QGsLUz6Z1ki6sC0cTM9R0A_20_0"/>
      <w:bookmarkStart w:id="154" w:name="Tc_286OSxMl9kai95OKpNh9Og_19_0"/>
      <w:bookmarkStart w:id="155" w:name="Tc_etxeni9TS0qEb53BKibJRA_18_0"/>
      <w:bookmarkStart w:id="156" w:name="Tc_dK8BL8u-i0225Sbj6il2GQ_17_2"/>
      <w:bookmarkStart w:id="157" w:name="Tc_IHdLC2zfFkSscdTH362Bdw_17_0"/>
      <w:bookmarkStart w:id="158" w:name="Tc_hEhZMk3wrEygYS9liKRwTQ_16_0"/>
      <w:bookmarkStart w:id="159" w:name="Tc_g4-1r1_rUUOVNEOYC8mLsA_15_4"/>
      <w:bookmarkStart w:id="160" w:name="Tc_DsU_EPhz_ECASIL2EL2rIA_15_2"/>
      <w:bookmarkStart w:id="161" w:name="Tc_MAbB8pMswk-a6MGGWspb6A_15_0"/>
      <w:bookmarkStart w:id="162" w:name="Tc_PxXXJBF-uU-j2MzFCokIKg_14_0"/>
      <w:bookmarkStart w:id="163" w:name="Tc_4YcNlqK0bEaPZg2oICVliw_13_0"/>
      <w:bookmarkStart w:id="164" w:name="Tc_UMR0bHj5V0mGbe9XTs_SyQ_12_0"/>
      <w:bookmarkStart w:id="165" w:name="Tc_wYLUlhFzgEOmIr81S4ogUQ_11_0"/>
      <w:bookmarkStart w:id="166" w:name="Tc_q7NOg7C88UyO2F_XTPsHtg_10_0"/>
      <w:bookmarkStart w:id="167" w:name="Tc_bviOmjyEYEGoqd6YzFsDlg_9_0"/>
      <w:bookmarkStart w:id="168" w:name="Tc_i-Oi9ONwVk2jhmeeCYXmEw_8_0"/>
      <w:bookmarkStart w:id="169" w:name="Tc_zAMSGZMnWUqD8tt6Gm3JsQ_7_0"/>
      <w:bookmarkStart w:id="170" w:name="Tc_HIX6ZIVSn0WLaSwCqymDMg_6_4"/>
      <w:bookmarkStart w:id="171" w:name="Tc_wLAuQfpcREWPdQqZUpmQnA_6_2"/>
      <w:bookmarkStart w:id="172" w:name="Tc_rg0w_bwdGkmTs-rl31WyrQ_6_0"/>
      <w:bookmarkStart w:id="173" w:name="Tc_r2qthA_On0ONuH8Q099yTg_5_0"/>
      <w:bookmarkStart w:id="174" w:name="Tc_TLXI0e-dH0aiRhvltwrqqw_4_6"/>
      <w:bookmarkStart w:id="175" w:name="Tc_OsPa-SAI_ku-Qb-0-Ng0DQ_4_4"/>
      <w:bookmarkStart w:id="176" w:name="Tc_rjuxWeOv1EGm1WfxZtCfKw_3_6"/>
      <w:bookmarkStart w:id="177" w:name="Tc_Wel8-ZTzFEuppwuk-xZBQQ_3_4"/>
      <w:bookmarkStart w:id="178" w:name="Tc_rGiFoJqkuEG9MHdW7JkrvA_3_2"/>
      <w:bookmarkStart w:id="179" w:name="Tc_P34MtXNVYE-HrQ6PCpIGdQ_2_4"/>
      <w:bookmarkStart w:id="180" w:name="Tc_HVZrl-Dyq0yRPo5rTWMHPA_1_4"/>
      <w:bookmarkStart w:id="181" w:name="_c1ab1226_56e8_472f_8ef9_1582b5222bf5"/>
      <w:bookmarkStart w:id="182" w:name="Tc_d_ZG8uLkhkiJczqDYQf2Xg_29_2"/>
      <w:bookmarkStart w:id="183" w:name="Tc_TBNHHyw6yUqFAuvb6ZGU_w_29_0"/>
      <w:bookmarkStart w:id="184" w:name="Tc_jpguL2kPrkS73i9U2JJg-w_28_2"/>
      <w:bookmarkStart w:id="185" w:name="Tc_rjZdIB0g6kaST8ne0_ofUQ_28_0"/>
      <w:bookmarkStart w:id="186" w:name="Tc_yzs-3I3W3ESKtpUc1u85Xg_27_0"/>
      <w:bookmarkStart w:id="187" w:name="Tc_J2XhMFcq302McnVRuEwVTw_26_2"/>
      <w:bookmarkStart w:id="188" w:name="Tc_5okW0_LH40S5SHHSGnZTWQ_26_0"/>
      <w:bookmarkStart w:id="189" w:name="Tc_8UHMkimMTkGjQrpiGenwXQ_25_2"/>
      <w:bookmarkStart w:id="190" w:name="Tc_Bfv-KVCUOk67iCCkZvy_gQ_25_0"/>
      <w:bookmarkStart w:id="191" w:name="Tc_BfMvxmaQp0qFSKtjCMbnnA_24_0"/>
      <w:bookmarkStart w:id="192" w:name="Tc_JpYww_58f0KIgCRzZtYIAw_23_0"/>
      <w:bookmarkStart w:id="193" w:name="Tc_MKLEaNUyQU-wC52LoJNb5Q_22_0"/>
      <w:bookmarkStart w:id="194" w:name="Tc_MDIs-GjrOUG7R21hl4itdw_21_0"/>
      <w:bookmarkStart w:id="195" w:name="Tc_QGsLUz6Z1ki6sC0cTM9R0A_20_0"/>
      <w:bookmarkStart w:id="196" w:name="Tc_286OSxMl9kai95OKpNh9Og_19_0"/>
      <w:bookmarkStart w:id="197" w:name="Tc_etxeni9TS0qEb53BKibJRA_18_0"/>
      <w:bookmarkStart w:id="198" w:name="Tc_dK8BL8u-i0225Sbj6il2GQ_17_2"/>
      <w:bookmarkStart w:id="199" w:name="Tc_IHdLC2zfFkSscdTH362Bdw_17_0"/>
      <w:bookmarkStart w:id="200" w:name="Tc_hEhZMk3wrEygYS9liKRwTQ_16_0"/>
      <w:bookmarkStart w:id="201" w:name="Tc_g4-1r1_rUUOVNEOYC8mLsA_15_4"/>
      <w:bookmarkStart w:id="202" w:name="Tc_DsU_EPhz_ECASIL2EL2rIA_15_2"/>
      <w:bookmarkStart w:id="203" w:name="Tc_MAbB8pMswk-a6MGGWspb6A_15_0"/>
      <w:bookmarkStart w:id="204" w:name="Tc_PxXXJBF-uU-j2MzFCokIKg_14_0"/>
      <w:bookmarkStart w:id="205" w:name="Tc_4YcNlqK0bEaPZg2oICVliw_13_0"/>
      <w:bookmarkStart w:id="206" w:name="Tc_UMR0bHj5V0mGbe9XTs_SyQ_12_0"/>
      <w:bookmarkStart w:id="207" w:name="Tc_wYLUlhFzgEOmIr81S4ogUQ_11_0"/>
      <w:bookmarkStart w:id="208" w:name="Tc_q7NOg7C88UyO2F_XTPsHtg_10_0"/>
      <w:bookmarkStart w:id="209" w:name="Tc_bviOmjyEYEGoqd6YzFsDlg_9_0"/>
      <w:bookmarkStart w:id="210" w:name="Tc_i-Oi9ONwVk2jhmeeCYXmEw_8_0"/>
      <w:bookmarkStart w:id="211" w:name="Tc_zAMSGZMnWUqD8tt6Gm3JsQ_7_0"/>
      <w:bookmarkStart w:id="212" w:name="Tc_HIX6ZIVSn0WLaSwCqymDMg_6_4"/>
      <w:bookmarkStart w:id="213" w:name="Tc_wLAuQfpcREWPdQqZUpmQnA_6_2"/>
      <w:bookmarkStart w:id="214" w:name="Tc_rg0w_bwdGkmTs-rl31WyrQ_6_0"/>
      <w:bookmarkStart w:id="215" w:name="Tc_r2qthA_On0ONuH8Q099yTg_5_0"/>
      <w:bookmarkStart w:id="216" w:name="Tc_TLXI0e-dH0aiRhvltwrqqw_4_6"/>
      <w:bookmarkStart w:id="217" w:name="Tc_OsPa-SAI_ku-Qb-0-Ng0DQ_4_4"/>
      <w:bookmarkStart w:id="218" w:name="Tc_rjuxWeOv1EGm1WfxZtCfKw_3_6"/>
      <w:bookmarkStart w:id="219" w:name="Tc_Wel8-ZTzFEuppwuk-xZBQQ_3_4"/>
      <w:bookmarkStart w:id="220" w:name="Tc_rGiFoJqkuEG9MHdW7JkrvA_3_2"/>
      <w:bookmarkStart w:id="221" w:name="Tc_P34MtXNVYE-HrQ6PCpIGdQ_2_4"/>
      <w:bookmarkStart w:id="222" w:name="Tc_HVZrl-Dyq0yRPo5rTWMHPA_1_4"/>
      <w:bookmarkStart w:id="223" w:name="_c1ab1226_56e8_472f_8ef9_1582b5222bf5"/>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tbl>
      <w:tblPr>
        <w:tblW w:w="10205" w:type="dxa"/>
        <w:jc w:val="left"/>
        <w:tblInd w:w="0" w:type="dxa"/>
        <w:tblLayout w:type="fixed"/>
        <w:tblCellMar>
          <w:top w:w="0" w:type="dxa"/>
          <w:left w:w="0" w:type="dxa"/>
          <w:bottom w:w="0" w:type="dxa"/>
          <w:right w:w="0" w:type="dxa"/>
        </w:tblCellMar>
      </w:tblPr>
      <w:tblGrid>
        <w:gridCol w:w="6303"/>
        <w:gridCol w:w="346"/>
        <w:gridCol w:w="511"/>
        <w:gridCol w:w="346"/>
        <w:gridCol w:w="1153"/>
        <w:gridCol w:w="346"/>
        <w:gridCol w:w="1200"/>
      </w:tblGrid>
      <w:tr>
        <w:trPr/>
        <w:tc>
          <w:tcPr>
            <w:tcW w:w="6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002405" cy="175260"/>
                      <wp:effectExtent l="0" t="0" r="0" b="0"/>
                      <wp:wrapNone/>
                      <wp:docPr id="39" name="Frame29"/>
                      <a:graphic xmlns:a="http://schemas.openxmlformats.org/drawingml/2006/main">
                        <a:graphicData uri="http://schemas.microsoft.com/office/word/2010/wordprocessingShape">
                          <wps:wsp>
                            <wps:cNvSpPr txBox="1"/>
                            <wps:spPr>
                              <a:xfrm>
                                <a:off x="0" y="0"/>
                                <a:ext cx="400240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24485" cy="175260"/>
                      <wp:effectExtent l="0" t="0" r="0" b="0"/>
                      <wp:wrapNone/>
                      <wp:docPr id="41" name="Frame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32155" cy="175260"/>
                      <wp:effectExtent l="0" t="0" r="0" b="0"/>
                      <wp:wrapNone/>
                      <wp:docPr id="43" name="Frame33"/>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62000" cy="175260"/>
                      <wp:effectExtent l="0" t="0" r="0" b="0"/>
                      <wp:wrapNone/>
                      <wp:docPr id="45" name="Frame35"/>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6303"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699" w:type="dxa"/>
            <w:gridSpan w:val="3"/>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6303"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699"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303"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51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lineRule="auto" w:line="304" w:before="0" w:after="1"/>
              <w:ind w:left="0" w:right="0" w:hanging="0"/>
              <w:jc w:val="left"/>
              <w:rPr/>
            </w:pPr>
            <w:r>
              <w:rPr/>
              <w:t>  ​ ​ ​</w:t>
            </w:r>
          </w:p>
        </w:tc>
        <w:tc>
          <w:tcPr>
            <w:tcW w:w="1153"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200"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303"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53"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200"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511" w:type="dxa"/>
            <w:tcBorders/>
            <w:shd w:fill="CCEEFF" w:val="clear"/>
            <w:vAlign w:val="center"/>
          </w:tcPr>
          <w:p>
            <w:pPr>
              <w:pStyle w:val="TableContents"/>
              <w:bidi w:val="0"/>
              <w:spacing w:lineRule="auto" w:line="304" w:before="0" w:after="1"/>
              <w:ind w:left="0" w:right="0" w:hanging="0"/>
              <w:jc w:val="center"/>
              <w:rPr/>
            </w:pPr>
            <w:r>
              <w:rPr/>
              <w:t>  ​</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53" w:type="dxa"/>
            <w:tcBorders/>
            <w:shd w:fill="CCEEFF" w:val="clear"/>
            <w:vAlign w:val="center"/>
          </w:tcPr>
          <w:p>
            <w:pPr>
              <w:pStyle w:val="TableContents"/>
              <w:bidi w:val="0"/>
              <w:spacing w:lineRule="auto" w:line="304" w:before="0" w:after="1"/>
              <w:ind w:left="0" w:right="0" w:hanging="0"/>
              <w:jc w:val="right"/>
              <w:rPr/>
            </w:pPr>
            <w:r>
              <w:rPr/>
              <w:t>  ​</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
              <w:ind w:left="0" w:right="0" w:hanging="0"/>
              <w:jc w:val="right"/>
              <w:rPr/>
            </w:pPr>
            <w:r>
              <w:rPr/>
              <w:t>  ​</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Licensing and collaboration revenue</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1,619,913</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 and income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(12,015,184)</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(13,964,667)</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(3,673,073)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(4,241,785)</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(15,688,257)</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(16,586,539)</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1,214,108</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1,376,774</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(318,422)</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(140,344)</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63,436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46,697</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Foreign exchange gain (loss), net</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1,252,353</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(169,880)</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(973,556)</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(13,476,782)</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(16,446,848)</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68,016</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Adagene Inc.’s shareholders</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(16,378,832)</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nil tax</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(1,168,652)</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(245,054)</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loss attributable to Adagene Inc.’s shareholders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(14,645,892)</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(16,623,886)</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Adagene Inc.’s shareholders</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(16,378,832)</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Net loss attributable to ordinary shareholders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(13,477,240)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(16,378,832)</w:t>
            </w:r>
          </w:p>
        </w:tc>
      </w:tr>
      <w:tr>
        <w:trPr/>
        <w:tc>
          <w:tcPr>
            <w:tcW w:w="6303"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shares used in per share calculation:</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60"/>
              <w:ind w:left="0" w:right="0" w:hanging="0"/>
              <w:jc w:val="right"/>
              <w:rPr/>
            </w:pPr>
            <w:r>
              <w:rPr/>
              <w:t>​</w:t>
            </w:r>
          </w:p>
        </w:tc>
      </w:tr>
      <w:tr>
        <w:trPr/>
        <w:tc>
          <w:tcPr>
            <w:tcW w:w="6303" w:type="dxa"/>
            <w:tcBorders/>
            <w:shd w:fill="CCEEFF" w:val="clear"/>
            <w:vAlign w:val="center"/>
          </w:tcPr>
          <w:p>
            <w:pPr>
              <w:pStyle w:val="TableContents"/>
              <w:bidi w:val="0"/>
              <w:spacing w:lineRule="auto" w:line="304" w:before="0" w:after="1"/>
              <w:ind w:left="0" w:right="0" w:hanging="0"/>
              <w:jc w:val="left"/>
              <w:rPr/>
            </w:pPr>
            <w:r>
              <w:rPr/>
              <w:t>—</w:t>
            </w: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70,773,769</w:t>
            </w:r>
          </w:p>
        </w:tc>
      </w:tr>
      <w:tr>
        <w:trPr/>
        <w:tc>
          <w:tcPr>
            <w:tcW w:w="6303" w:type="dxa"/>
            <w:tcBorders/>
            <w:vAlign w:val="center"/>
          </w:tcPr>
          <w:p>
            <w:pPr>
              <w:pStyle w:val="TableContents"/>
              <w:bidi w:val="0"/>
              <w:spacing w:lineRule="auto" w:line="304" w:before="0" w:after="1"/>
              <w:ind w:left="0" w:right="0" w:hanging="0"/>
              <w:jc w:val="left"/>
              <w:rPr/>
            </w:pPr>
            <w:r>
              <w:rPr/>
              <w:t>—</w:t>
            </w:r>
            <w:r>
              <w:rPr>
                <w:rFonts w:ascii="Times New Roman;Times;serif" w:hAnsi="Times New Roman;Times;serif"/>
                <w:sz w:val="20"/>
              </w:rPr>
              <w:t>Diluted</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70,773,769</w:t>
            </w:r>
          </w:p>
        </w:tc>
      </w:tr>
      <w:tr>
        <w:trPr/>
        <w:tc>
          <w:tcPr>
            <w:tcW w:w="6303"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Net loss per ordinary share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60"/>
              <w:ind w:left="0" w:right="0" w:hanging="0"/>
              <w:jc w:val="center"/>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60"/>
              <w:ind w:left="0" w:right="0" w:hanging="0"/>
              <w:jc w:val="right"/>
              <w:rPr/>
            </w:pPr>
            <w:r>
              <w:rPr/>
              <w:t>​</w:t>
            </w:r>
          </w:p>
        </w:tc>
      </w:tr>
      <w:tr>
        <w:trPr/>
        <w:tc>
          <w:tcPr>
            <w:tcW w:w="6303" w:type="dxa"/>
            <w:tcBorders/>
            <w:vAlign w:val="center"/>
          </w:tcPr>
          <w:p>
            <w:pPr>
              <w:pStyle w:val="TableContents"/>
              <w:bidi w:val="0"/>
              <w:spacing w:lineRule="auto" w:line="304" w:before="0" w:after="1"/>
              <w:ind w:left="0" w:right="0" w:hanging="0"/>
              <w:jc w:val="left"/>
              <w:rPr/>
            </w:pPr>
            <w:r>
              <w:rPr/>
              <w:t>—</w:t>
            </w:r>
            <w:r>
              <w:rPr>
                <w:rFonts w:ascii="Times New Roman;Times;serif" w:hAnsi="Times New Roman;Times;serif"/>
                <w:sz w:val="20"/>
              </w:rPr>
              <w:t>Basic</w:t>
            </w:r>
          </w:p>
        </w:tc>
        <w:tc>
          <w:tcPr>
            <w:tcW w:w="346" w:type="dxa"/>
            <w:tcBorders/>
            <w:vAlign w:val="center"/>
          </w:tcPr>
          <w:p>
            <w:pPr>
              <w:pStyle w:val="TableContents"/>
              <w:bidi w:val="0"/>
              <w:spacing w:lineRule="auto" w:line="304" w:before="0" w:after="160"/>
              <w:ind w:left="0" w:right="0" w:hanging="0"/>
              <w:jc w:val="left"/>
              <w:rPr/>
            </w:pPr>
            <w:r>
              <w:rPr/>
              <w:t>​</w:t>
            </w:r>
          </w:p>
        </w:tc>
        <w:tc>
          <w:tcPr>
            <w:tcW w:w="51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lineRule="auto" w:line="304" w:before="0" w:after="1"/>
              <w:ind w:left="0" w:right="0" w:hanging="0"/>
              <w:jc w:val="left"/>
              <w:rPr/>
            </w:pPr>
            <w:r>
              <w:rPr/>
              <w:t> </w:t>
            </w:r>
          </w:p>
        </w:tc>
        <w:tc>
          <w:tcPr>
            <w:tcW w:w="1153"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lineRule="auto" w:line="304" w:before="0" w:after="1"/>
              <w:ind w:left="0" w:right="0" w:hanging="0"/>
              <w:jc w:val="left"/>
              <w:rPr/>
            </w:pPr>
            <w:r>
              <w:rPr/>
              <w:t> </w:t>
            </w:r>
          </w:p>
        </w:tc>
        <w:tc>
          <w:tcPr>
            <w:tcW w:w="1200"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r>
        <w:trPr/>
        <w:tc>
          <w:tcPr>
            <w:tcW w:w="6303" w:type="dxa"/>
            <w:tcBorders/>
            <w:shd w:fill="CCEEFF" w:val="clear"/>
            <w:vAlign w:val="center"/>
          </w:tcPr>
          <w:p>
            <w:pPr>
              <w:pStyle w:val="TableContents"/>
              <w:bidi w:val="0"/>
              <w:spacing w:lineRule="auto" w:line="304" w:before="0" w:after="1"/>
              <w:ind w:left="0" w:right="0" w:hanging="0"/>
              <w:jc w:val="left"/>
              <w:rPr/>
            </w:pPr>
            <w:r>
              <w:rPr/>
              <w:t>—</w:t>
            </w: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51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3"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lineRule="auto" w:line="285" w:before="0" w:after="240"/>
        <w:ind w:left="0" w:right="0" w:firstLine="720"/>
        <w:jc w:val="center"/>
        <w:rPr/>
      </w:pPr>
      <w:r>
        <w:rPr/>
        <w:t>​</w:t>
      </w:r>
    </w:p>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20"/>
        </w:rPr>
      </w:pPr>
      <w:bookmarkStart w:id="224" w:name="_42e49531_23a3_4f17_85d4_542572548273"/>
      <w:bookmarkEnd w:id="224"/>
      <w:r>
        <w:rPr>
          <w:rFonts w:ascii="Times New Roman;Times;serif" w:hAnsi="Times New Roman;Times;serif"/>
          <w:b/>
          <w:sz w:val="20"/>
        </w:rPr>
        <w:t>ADAGENE INC.</w:t>
      </w:r>
    </w:p>
    <w:p>
      <w:pPr>
        <w:pStyle w:val="TextBody"/>
        <w:bidi w:val="0"/>
        <w:spacing w:lineRule="auto" w:line="285" w:before="0" w:after="120"/>
        <w:ind w:left="0" w:right="0" w:hanging="0"/>
        <w:jc w:val="center"/>
        <w:rPr>
          <w:rFonts w:ascii="Times New Roman;Times;serif" w:hAnsi="Times New Roman;Times;serif"/>
          <w:b/>
          <w:sz w:val="20"/>
        </w:rPr>
      </w:pPr>
      <w:bookmarkStart w:id="225" w:name="CONSOLIDATEDSTATEMENTSOFCHANGESINSHAREHO"/>
      <w:bookmarkEnd w:id="225"/>
      <w:r>
        <w:rPr>
          <w:rFonts w:ascii="Times New Roman;Times;serif" w:hAnsi="Times New Roman;Times;serif"/>
          <w:b/>
          <w:sz w:val="20"/>
        </w:rPr>
        <w:t>UNAUDITED INTERIM CONDENSED CONSOLIDATED STATEMENTS OF CHANGES IN SHAREHOLDERS’ EQUITY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2025 AND 2026</w:t>
      </w:r>
    </w:p>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226" w:name="Tc_Lbf34fXQBE6BnJ1Dn4CB-A_11_8"/>
      <w:bookmarkStart w:id="227" w:name="Tc_Xzbz8GB-sE6QDWR4-5fgzQ_11_6"/>
      <w:bookmarkStart w:id="228" w:name="Tc_PWk6_8s30UaL3pbw__nI1w_11_0"/>
      <w:bookmarkStart w:id="229" w:name="Tc_zRs1KHjorkSB4tA0_n8IFw_10_14"/>
      <w:bookmarkStart w:id="230" w:name="Tc_sjzO7QJHgkOUA_AfsaucxQ_10_12"/>
      <w:bookmarkStart w:id="231" w:name="Tc_N2Svm2ydqUaBttmpXqF_oQ_10_8"/>
      <w:bookmarkStart w:id="232" w:name="Tc_5XbrtaJHTEKC_EKrfK1bWg_10_6"/>
      <w:bookmarkStart w:id="233" w:name="Tc_SomcUDWgrEyZZ_cJdOKPrg_10_0"/>
      <w:bookmarkStart w:id="234" w:name="Tc_S4jfpRjo6UG-PSubiYGbNg_9_14"/>
      <w:bookmarkStart w:id="235" w:name="Tc_BnjQxWkF2kq_yBbn5GNHzw_9_12"/>
      <w:bookmarkStart w:id="236" w:name="Tc_NYdeUNYgik2KdQxSzEtNJA_9_8"/>
      <w:bookmarkStart w:id="237" w:name="Tc_mdc8fO3RDUK_i0qQk1QkaA_9_6"/>
      <w:bookmarkStart w:id="238" w:name="Tc_2Cd-wbnJWEyHEdvion4orw_9_4"/>
      <w:bookmarkStart w:id="239" w:name="Tc_YZlCG61eaEOv2aDE3Th89g_9_0"/>
      <w:bookmarkStart w:id="240" w:name="Tc_hXsEjfML0kCvyKZjbSvolw_8_14"/>
      <w:bookmarkStart w:id="241" w:name="Tc_yQxNCs231UavtafLMn4K1Q_8_10"/>
      <w:bookmarkStart w:id="242" w:name="Tc_eRnkieFoOkOZ1JvlFsdc2A_8_8"/>
      <w:bookmarkStart w:id="243" w:name="Tc_0WdjeZUZVEejwyBnjjLvlg_8_6"/>
      <w:bookmarkStart w:id="244" w:name="Tc_Y8hrri7izEy_1lL4FYtAIw_8_4"/>
      <w:bookmarkStart w:id="245" w:name="Tc_7fByh4QODEGqY_czpVLP_g_8_2"/>
      <w:bookmarkStart w:id="246" w:name="Tc_1GmGMLg-B0abdHdDfCBIew_8_0"/>
      <w:bookmarkStart w:id="247" w:name="Tc_-EyqwKqXHEWw2Z9Axp0txQ_7_12"/>
      <w:bookmarkStart w:id="248" w:name="Tc_NYwUjHUxgUqx2Vx0ilZOJw_7_10"/>
      <w:bookmarkStart w:id="249" w:name="Tc_QXKaAUuoh0eOseqLlhy5iA_7_8"/>
      <w:bookmarkStart w:id="250" w:name="Tc_W65h-18Ky0WksLGU6ek8xw_7_6"/>
      <w:bookmarkStart w:id="251" w:name="Tc_A0s-5aGkLEmPTPey_7fDQA_7_4"/>
      <w:bookmarkStart w:id="252" w:name="Tc_j9r5v0WYJ02pEbwlT9xC-w_7_2"/>
      <w:bookmarkStart w:id="253" w:name="Tc_xqN0DQhBUEaF_bifRB3SoA_7_0"/>
      <w:bookmarkStart w:id="254" w:name="Tc_imXVxOlAdEqe9VhPmcVB4A_6_8"/>
      <w:bookmarkStart w:id="255" w:name="Tc_K3izyE639ESXrz83j3aqWw_6_6"/>
      <w:bookmarkStart w:id="256" w:name="Tc_LfhbKMozvEyIR_Uo3r_z1A_6_0"/>
      <w:bookmarkStart w:id="257" w:name="Tc_jUm_lKgF30yYtGFCVl232w_5_16"/>
      <w:bookmarkStart w:id="258" w:name="Tc_e0XC1qBWtEeWxaft86IpYQ_5_14"/>
      <w:bookmarkStart w:id="259" w:name="Tc_R4fyiY2iV0qOPuA_1JQ3Yg_5_12"/>
      <w:bookmarkStart w:id="260" w:name="Tc_0qtls1S5EUqCchce0SjYPg_5_10"/>
      <w:bookmarkStart w:id="261" w:name="Tc_VE0bvK4lvk612r62wdSI2g_5_8"/>
      <w:bookmarkStart w:id="262" w:name="Tc_xqJqb4Ya_k-txUFnSvS56A_5_4"/>
      <w:bookmarkStart w:id="263" w:name="Tc_Y8Imr7Kfo0y4lPjwZTPKtw_4_16"/>
      <w:bookmarkStart w:id="264" w:name="Tc_LYgjMSi7AUyJUtBRgukT0w_4_14"/>
      <w:bookmarkStart w:id="265" w:name="Tc_C-q0FFQpJE2viURXnbKOhw_4_12"/>
      <w:bookmarkStart w:id="266" w:name="Tc_YO4UMz-a-UmwYDOLnqwQsg_4_10"/>
      <w:bookmarkStart w:id="267" w:name="Tc_RR8U7Pv9IUGG6RXD2dnU5g_4_8"/>
      <w:bookmarkStart w:id="268" w:name="Tc_Zr30uVaLCEGXjv7dG3Z3ug_4_6"/>
      <w:bookmarkStart w:id="269" w:name="Tc_q5lqeh_aU0uofkJ8rbqgWw_4_4"/>
      <w:bookmarkStart w:id="270" w:name="Tc_qKA54w4h20Kqo26lgjMnIQ_4_2"/>
      <w:bookmarkStart w:id="271" w:name="Tc_GL1kuaDK1UWJ9w4B6lGS-A_3_16"/>
      <w:bookmarkStart w:id="272" w:name="Tc_7NvfhNU-_kWfvn9GJydreQ_3_14"/>
      <w:bookmarkStart w:id="273" w:name="Tc_fvCT0fHNLE6TH9D4oiaSMw_3_12"/>
      <w:bookmarkStart w:id="274" w:name="Tc_ldCqCsbaskSzLSipppA9TA_3_10"/>
      <w:bookmarkStart w:id="275" w:name="Tc_MWpfdS26bkqbBUNLz35YBg_3_6"/>
      <w:bookmarkStart w:id="276" w:name="Tc_YO91OFpzs0i86wddSomPeg_3_2"/>
      <w:bookmarkStart w:id="277" w:name="Tc_u86jsn0HBkSGCgfwzdKjHA_2_16"/>
      <w:bookmarkStart w:id="278" w:name="Tc_VvhWFwKMzEy_DnIU5JDBsQ_2_12"/>
      <w:bookmarkStart w:id="279" w:name="Tc_VsHkZpwWvUKv4KVINR5wQQ_2_10"/>
      <w:bookmarkStart w:id="280" w:name="Tc_1c0Apvc-AkuYTZ51JmxjDQ_2_6"/>
      <w:bookmarkStart w:id="281" w:name="Tc_lI5lIUkwPUW-Y0FLL5woQQ_2_2"/>
      <w:bookmarkStart w:id="282" w:name="Tc_0FSVpzOAFkuBl0Xa6-V46g_1_12"/>
      <w:bookmarkStart w:id="283" w:name="_839f1bb5_5cfd_461b_af1e_b42aa4f0e8e8"/>
      <w:bookmarkStart w:id="284" w:name="Tc_Lbf34fXQBE6BnJ1Dn4CB-A_11_8"/>
      <w:bookmarkStart w:id="285" w:name="Tc_Xzbz8GB-sE6QDWR4-5fgzQ_11_6"/>
      <w:bookmarkStart w:id="286" w:name="Tc_PWk6_8s30UaL3pbw__nI1w_11_0"/>
      <w:bookmarkStart w:id="287" w:name="Tc_zRs1KHjorkSB4tA0_n8IFw_10_14"/>
      <w:bookmarkStart w:id="288" w:name="Tc_sjzO7QJHgkOUA_AfsaucxQ_10_12"/>
      <w:bookmarkStart w:id="289" w:name="Tc_N2Svm2ydqUaBttmpXqF_oQ_10_8"/>
      <w:bookmarkStart w:id="290" w:name="Tc_5XbrtaJHTEKC_EKrfK1bWg_10_6"/>
      <w:bookmarkStart w:id="291" w:name="Tc_SomcUDWgrEyZZ_cJdOKPrg_10_0"/>
      <w:bookmarkStart w:id="292" w:name="Tc_S4jfpRjo6UG-PSubiYGbNg_9_14"/>
      <w:bookmarkStart w:id="293" w:name="Tc_BnjQxWkF2kq_yBbn5GNHzw_9_12"/>
      <w:bookmarkStart w:id="294" w:name="Tc_NYdeUNYgik2KdQxSzEtNJA_9_8"/>
      <w:bookmarkStart w:id="295" w:name="Tc_mdc8fO3RDUK_i0qQk1QkaA_9_6"/>
      <w:bookmarkStart w:id="296" w:name="Tc_2Cd-wbnJWEyHEdvion4orw_9_4"/>
      <w:bookmarkStart w:id="297" w:name="Tc_YZlCG61eaEOv2aDE3Th89g_9_0"/>
      <w:bookmarkStart w:id="298" w:name="Tc_hXsEjfML0kCvyKZjbSvolw_8_14"/>
      <w:bookmarkStart w:id="299" w:name="Tc_yQxNCs231UavtafLMn4K1Q_8_10"/>
      <w:bookmarkStart w:id="300" w:name="Tc_eRnkieFoOkOZ1JvlFsdc2A_8_8"/>
      <w:bookmarkStart w:id="301" w:name="Tc_0WdjeZUZVEejwyBnjjLvlg_8_6"/>
      <w:bookmarkStart w:id="302" w:name="Tc_Y8hrri7izEy_1lL4FYtAIw_8_4"/>
      <w:bookmarkStart w:id="303" w:name="Tc_7fByh4QODEGqY_czpVLP_g_8_2"/>
      <w:bookmarkStart w:id="304" w:name="Tc_1GmGMLg-B0abdHdDfCBIew_8_0"/>
      <w:bookmarkStart w:id="305" w:name="Tc_-EyqwKqXHEWw2Z9Axp0txQ_7_12"/>
      <w:bookmarkStart w:id="306" w:name="Tc_NYwUjHUxgUqx2Vx0ilZOJw_7_10"/>
      <w:bookmarkStart w:id="307" w:name="Tc_QXKaAUuoh0eOseqLlhy5iA_7_8"/>
      <w:bookmarkStart w:id="308" w:name="Tc_W65h-18Ky0WksLGU6ek8xw_7_6"/>
      <w:bookmarkStart w:id="309" w:name="Tc_A0s-5aGkLEmPTPey_7fDQA_7_4"/>
      <w:bookmarkStart w:id="310" w:name="Tc_j9r5v0WYJ02pEbwlT9xC-w_7_2"/>
      <w:bookmarkStart w:id="311" w:name="Tc_xqN0DQhBUEaF_bifRB3SoA_7_0"/>
      <w:bookmarkStart w:id="312" w:name="Tc_imXVxOlAdEqe9VhPmcVB4A_6_8"/>
      <w:bookmarkStart w:id="313" w:name="Tc_K3izyE639ESXrz83j3aqWw_6_6"/>
      <w:bookmarkStart w:id="314" w:name="Tc_LfhbKMozvEyIR_Uo3r_z1A_6_0"/>
      <w:bookmarkStart w:id="315" w:name="Tc_jUm_lKgF30yYtGFCVl232w_5_16"/>
      <w:bookmarkStart w:id="316" w:name="Tc_e0XC1qBWtEeWxaft86IpYQ_5_14"/>
      <w:bookmarkStart w:id="317" w:name="Tc_R4fyiY2iV0qOPuA_1JQ3Yg_5_12"/>
      <w:bookmarkStart w:id="318" w:name="Tc_0qtls1S5EUqCchce0SjYPg_5_10"/>
      <w:bookmarkStart w:id="319" w:name="Tc_VE0bvK4lvk612r62wdSI2g_5_8"/>
      <w:bookmarkStart w:id="320" w:name="Tc_xqJqb4Ya_k-txUFnSvS56A_5_4"/>
      <w:bookmarkStart w:id="321" w:name="Tc_Y8Imr7Kfo0y4lPjwZTPKtw_4_16"/>
      <w:bookmarkStart w:id="322" w:name="Tc_LYgjMSi7AUyJUtBRgukT0w_4_14"/>
      <w:bookmarkStart w:id="323" w:name="Tc_C-q0FFQpJE2viURXnbKOhw_4_12"/>
      <w:bookmarkStart w:id="324" w:name="Tc_YO4UMz-a-UmwYDOLnqwQsg_4_10"/>
      <w:bookmarkStart w:id="325" w:name="Tc_RR8U7Pv9IUGG6RXD2dnU5g_4_8"/>
      <w:bookmarkStart w:id="326" w:name="Tc_Zr30uVaLCEGXjv7dG3Z3ug_4_6"/>
      <w:bookmarkStart w:id="327" w:name="Tc_q5lqeh_aU0uofkJ8rbqgWw_4_4"/>
      <w:bookmarkStart w:id="328" w:name="Tc_qKA54w4h20Kqo26lgjMnIQ_4_2"/>
      <w:bookmarkStart w:id="329" w:name="Tc_GL1kuaDK1UWJ9w4B6lGS-A_3_16"/>
      <w:bookmarkStart w:id="330" w:name="Tc_7NvfhNU-_kWfvn9GJydreQ_3_14"/>
      <w:bookmarkStart w:id="331" w:name="Tc_fvCT0fHNLE6TH9D4oiaSMw_3_12"/>
      <w:bookmarkStart w:id="332" w:name="Tc_ldCqCsbaskSzLSipppA9TA_3_10"/>
      <w:bookmarkStart w:id="333" w:name="Tc_MWpfdS26bkqbBUNLz35YBg_3_6"/>
      <w:bookmarkStart w:id="334" w:name="Tc_YO91OFpzs0i86wddSomPeg_3_2"/>
      <w:bookmarkStart w:id="335" w:name="Tc_u86jsn0HBkSGCgfwzdKjHA_2_16"/>
      <w:bookmarkStart w:id="336" w:name="Tc_VvhWFwKMzEy_DnIU5JDBsQ_2_12"/>
      <w:bookmarkStart w:id="337" w:name="Tc_VsHkZpwWvUKv4KVINR5wQQ_2_10"/>
      <w:bookmarkStart w:id="338" w:name="Tc_1c0Apvc-AkuYTZ51JmxjDQ_2_6"/>
      <w:bookmarkStart w:id="339" w:name="Tc_lI5lIUkwPUW-Y0FLL5woQQ_2_2"/>
      <w:bookmarkStart w:id="340" w:name="Tc_0FSVpzOAFkuBl0Xa6-V46g_1_12"/>
      <w:bookmarkStart w:id="341" w:name="_839f1bb5_5cfd_461b_af1e_b42aa4f0e8e8"/>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11882" w:type="dxa"/>
        <w:jc w:val="left"/>
        <w:tblInd w:w="0" w:type="dxa"/>
        <w:tblLayout w:type="fixed"/>
        <w:tblCellMar>
          <w:top w:w="0" w:type="dxa"/>
          <w:left w:w="0" w:type="dxa"/>
          <w:bottom w:w="0" w:type="dxa"/>
          <w:right w:w="0" w:type="dxa"/>
        </w:tblCellMar>
      </w:tblPr>
      <w:tblGrid>
        <w:gridCol w:w="1351"/>
        <w:gridCol w:w="346"/>
        <w:gridCol w:w="1036"/>
        <w:gridCol w:w="346"/>
        <w:gridCol w:w="691"/>
        <w:gridCol w:w="346"/>
        <w:gridCol w:w="691"/>
        <w:gridCol w:w="346"/>
        <w:gridCol w:w="691"/>
        <w:gridCol w:w="346"/>
        <w:gridCol w:w="1141"/>
        <w:gridCol w:w="346"/>
        <w:gridCol w:w="1171"/>
        <w:gridCol w:w="346"/>
        <w:gridCol w:w="1201"/>
        <w:gridCol w:w="346"/>
        <w:gridCol w:w="114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57885" cy="175260"/>
                      <wp:effectExtent l="0" t="0" r="0" b="0"/>
                      <wp:wrapNone/>
                      <wp:docPr id="46" name="Frame3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57860" cy="175260"/>
                      <wp:effectExtent l="0" t="0" r="0" b="0"/>
                      <wp:wrapNone/>
                      <wp:docPr id="48" name="Frame3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8785" cy="175260"/>
                      <wp:effectExtent l="0" t="0" r="0" b="0"/>
                      <wp:wrapNone/>
                      <wp:docPr id="50" name="Frame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8785" cy="175260"/>
                      <wp:effectExtent l="0" t="0" r="0" b="0"/>
                      <wp:wrapNone/>
                      <wp:docPr id="5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38785" cy="175260"/>
                      <wp:effectExtent l="0" t="0" r="0" b="0"/>
                      <wp:wrapNone/>
                      <wp:docPr id="54" name="Frame4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24535" cy="175260"/>
                      <wp:effectExtent l="0" t="0" r="0" b="0"/>
                      <wp:wrapNone/>
                      <wp:docPr id="56" name="Frame4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43585" cy="175260"/>
                      <wp:effectExtent l="0" t="0" r="0" b="0"/>
                      <wp:wrapNone/>
                      <wp:docPr id="58" name="Frame4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62635" cy="175260"/>
                      <wp:effectExtent l="0" t="0" r="0" b="0"/>
                      <wp:wrapNone/>
                      <wp:docPr id="60" name="Frame50"/>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4535" cy="175260"/>
                      <wp:effectExtent l="0" t="0" r="0" b="0"/>
                      <wp:wrapNone/>
                      <wp:docPr id="62" name="Frame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60"/>
              <w:ind w:left="0" w:right="0" w:hanging="0"/>
              <w:jc w:val="center"/>
              <w:rPr/>
            </w:pPr>
            <w:r>
              <w:rPr/>
              <w:t>​</w: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07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lineRule="auto" w:line="304" w:before="0" w:after="160"/>
              <w:ind w:left="0" w:right="0" w:hanging="0"/>
              <w:jc w:val="right"/>
              <w:rPr/>
            </w:pPr>
            <w:r>
              <w:rPr/>
              <w:t>​</w:t>
            </w:r>
          </w:p>
        </w:tc>
        <w:tc>
          <w:tcPr>
            <w:tcW w:w="1728"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4"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304"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4" w:before="0" w:after="1"/>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304"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304"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304" w:before="0" w:after="1"/>
              <w:ind w:left="0" w:right="0" w:hanging="0"/>
              <w:jc w:val="left"/>
              <w:rPr/>
            </w:pPr>
            <w:r>
              <w:rPr/>
              <w:t>  ​ ​ ​</w:t>
            </w:r>
          </w:p>
        </w:tc>
        <w:tc>
          <w:tcPr>
            <w:tcW w:w="120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304"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equity </w: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6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center"/>
              <w:rPr/>
            </w:pPr>
            <w:r>
              <w:rPr/>
              <w:t>  ​ ​ ​</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center"/>
              <w:rPr/>
            </w:pPr>
            <w:r>
              <w:rPr/>
              <w:t>  ​ ​ ​</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center"/>
              <w:rPr/>
            </w:pPr>
            <w:r>
              <w:rPr/>
              <w:t>  ​ ​ ​</w:t>
            </w:r>
          </w:p>
        </w:tc>
        <w:tc>
          <w:tcPr>
            <w:tcW w:w="12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center"/>
              <w:rPr/>
            </w:pPr>
            <w:r>
              <w:rPr/>
              <w:t>  ​ ​ ​</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2024</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58,886,944</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5,889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362,220,445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7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(526,903)</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0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(311,175,587)</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50,523,844</w:t>
            </w:r>
          </w:p>
        </w:tc>
      </w:tr>
      <w:tr>
        <w:trPr/>
        <w:tc>
          <w:tcPr>
            <w:tcW w:w="135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7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0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(13,477,240)</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(13,477,240)</w:t>
            </w:r>
          </w:p>
        </w:tc>
      </w:tr>
      <w:tr>
        <w:trPr/>
        <w:tc>
          <w:tcPr>
            <w:tcW w:w="13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7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(1,168,652)</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0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(1,168,652)</w:t>
            </w:r>
          </w:p>
        </w:tc>
      </w:tr>
      <w:tr>
        <w:trPr/>
        <w:tc>
          <w:tcPr>
            <w:tcW w:w="135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 of share options (Note 10)</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3,502</w:t>
            </w:r>
          </w:p>
        </w:tc>
        <w:tc>
          <w:tcPr>
            <w:tcW w:w="346" w:type="dxa"/>
            <w:tcBorders/>
            <w:vAlign w:val="center"/>
          </w:tcPr>
          <w:p>
            <w:pPr>
              <w:pStyle w:val="TableContents"/>
              <w:bidi w:val="0"/>
              <w:spacing w:lineRule="auto" w:line="304" w:before="0" w:after="160"/>
              <w:ind w:left="0" w:right="0" w:hanging="0"/>
              <w:jc w:val="right"/>
              <w:rPr/>
            </w:pPr>
            <w:r>
              <w:rPr/>
              <w:t>​</w:t>
            </w:r>
          </w:p>
        </w:tc>
        <w:tc>
          <w:tcPr>
            <w:tcW w:w="117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20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3,502</w:t>
            </w:r>
          </w:p>
        </w:tc>
      </w:tr>
      <w:tr>
        <w:trPr/>
        <w:tc>
          <w:tcPr>
            <w:tcW w:w="13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23,893</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2,030,333</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7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20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2,030,335</w:t>
            </w:r>
          </w:p>
        </w:tc>
      </w:tr>
      <w:tr>
        <w:trPr/>
        <w:tc>
          <w:tcPr>
            <w:tcW w:w="1351"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2025</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58,914,087</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5,891</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364,254,280</w:t>
            </w:r>
          </w:p>
        </w:tc>
        <w:tc>
          <w:tcPr>
            <w:tcW w:w="346" w:type="dxa"/>
            <w:tcBorders/>
            <w:vAlign w:val="center"/>
          </w:tcPr>
          <w:p>
            <w:pPr>
              <w:pStyle w:val="TableContents"/>
              <w:bidi w:val="0"/>
              <w:spacing w:lineRule="auto" w:line="304" w:before="0" w:after="160"/>
              <w:ind w:left="0" w:right="0" w:hanging="0"/>
              <w:jc w:val="right"/>
              <w:rPr/>
            </w:pPr>
            <w:r>
              <w:rPr/>
              <w:t>​</w:t>
            </w:r>
          </w:p>
        </w:tc>
        <w:tc>
          <w:tcPr>
            <w:tcW w:w="117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(1,695,555)</w:t>
            </w:r>
          </w:p>
        </w:tc>
        <w:tc>
          <w:tcPr>
            <w:tcW w:w="346" w:type="dxa"/>
            <w:tcBorders/>
            <w:vAlign w:val="center"/>
          </w:tcPr>
          <w:p>
            <w:pPr>
              <w:pStyle w:val="TableContents"/>
              <w:bidi w:val="0"/>
              <w:spacing w:lineRule="auto" w:line="304" w:before="0" w:after="160"/>
              <w:ind w:left="0" w:right="0" w:hanging="0"/>
              <w:jc w:val="right"/>
              <w:rPr/>
            </w:pPr>
            <w:r>
              <w:rPr/>
              <w:t>​</w:t>
            </w:r>
          </w:p>
        </w:tc>
        <w:tc>
          <w:tcPr>
            <w:tcW w:w="120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(324,652,827)</w:t>
            </w:r>
          </w:p>
        </w:tc>
        <w:tc>
          <w:tcPr>
            <w:tcW w:w="346" w:type="dxa"/>
            <w:tcBorders/>
            <w:vAlign w:val="center"/>
          </w:tcPr>
          <w:p>
            <w:pPr>
              <w:pStyle w:val="TableContents"/>
              <w:bidi w:val="0"/>
              <w:spacing w:lineRule="auto" w:line="304" w:before="0" w:after="160"/>
              <w:ind w:left="0" w:right="0" w:hanging="0"/>
              <w:jc w:val="right"/>
              <w:rPr/>
            </w:pPr>
            <w:r>
              <w:rPr/>
              <w:t>​</w:t>
            </w:r>
          </w:p>
        </w:tc>
        <w:tc>
          <w:tcPr>
            <w:tcW w:w="1141"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37,911,789</w:t>
            </w:r>
          </w:p>
        </w:tc>
      </w:tr>
    </w:tbl>
    <w:p>
      <w:pPr>
        <w:pStyle w:val="TextBody"/>
        <w:bidi w:val="0"/>
        <w:spacing w:lineRule="auto" w:line="285" w:before="0" w:after="240"/>
        <w:ind w:left="0" w:right="0" w:hanging="0"/>
        <w:jc w:val="left"/>
        <w:rPr/>
      </w:pPr>
      <w:r>
        <w:rPr/>
        <w:t>​</w:t>
      </w:r>
    </w:p>
    <w:p>
      <w:pPr>
        <w:pStyle w:val="Normal"/>
        <w:bidi w:val="0"/>
        <w:spacing w:before="0" w:after="0"/>
        <w:jc w:val="left"/>
        <w:rPr>
          <w:sz w:val="4"/>
          <w:szCs w:val="4"/>
        </w:rPr>
      </w:pPr>
      <w:r>
        <w:rPr>
          <w:sz w:val="4"/>
          <w:szCs w:val="4"/>
        </w:rPr>
      </w:r>
      <w:bookmarkStart w:id="342" w:name="Tc_pKeI104zQk2Thy3W2qqqdQ_13_8"/>
      <w:bookmarkStart w:id="343" w:name="Tc_IUpP6pdsw0SvvXgQyCKBKA_13_6"/>
      <w:bookmarkStart w:id="344" w:name="Tc_706KW-x9L0e994DaYZtDWA_13_0"/>
      <w:bookmarkStart w:id="345" w:name="Tc_5H3qMztruUOHQzl0sxkEbw_12_14"/>
      <w:bookmarkStart w:id="346" w:name="Tc_Nmes0Re3BkOECrOZxzi-Bw_12_12"/>
      <w:bookmarkStart w:id="347" w:name="Tc_5vUElN7eM0SuzZLkR-eEuA_12_8"/>
      <w:bookmarkStart w:id="348" w:name="Tc_2ufgclvu4k-A960dLD4DbA_12_6"/>
      <w:bookmarkStart w:id="349" w:name="Tc_LCNL0RPIzkmIDL6Kmj0kCA_12_0"/>
      <w:bookmarkStart w:id="350" w:name="Tc_LQULUZqEH0SXuJQAwfdJ6w_11_14"/>
      <w:bookmarkStart w:id="351" w:name="Tc_qedOXfnrz0yhew0WeTciDA_11_12"/>
      <w:bookmarkStart w:id="352" w:name="Tc_9zd2nyOC7ECFaKG3fCR8QQ_11_8"/>
      <w:bookmarkStart w:id="353" w:name="Tc_zVb1OOUOmEaoRBFMzouHXg_11_6"/>
      <w:bookmarkStart w:id="354" w:name="Tc_FAteWPAINk-Z0fNlXrDIfQ_11_0"/>
      <w:bookmarkStart w:id="355" w:name="Tc_rD3b7uZLtUK6GjjjnvnuMQ_10_14"/>
      <w:bookmarkStart w:id="356" w:name="Tc_oK3aaQZKTEaPRfFu-1wY6g_10_12"/>
      <w:bookmarkStart w:id="357" w:name="Tc_5SBuj77X0EOG4YhA0IJYIg_10_8"/>
      <w:bookmarkStart w:id="358" w:name="Tc_8B1LAc_4I0ma8kDWgXfMCQ_10_6"/>
      <w:bookmarkStart w:id="359" w:name="Tc_nMZI5585KkGXLOpMyPzy4Q_10_4"/>
      <w:bookmarkStart w:id="360" w:name="Tc_eLvUtYgO5kSJSq_scvm0wQ_10_2"/>
      <w:bookmarkStart w:id="361" w:name="Tc_G6syiAQHnUGKJ23xgzGiUQ_10_0"/>
      <w:bookmarkStart w:id="362" w:name="Tc_vWOVC-YXLU6qsleeqc58YQ_9_14"/>
      <w:bookmarkStart w:id="363" w:name="Tc_Msjh1nYE-EGNXunOX6939w_9_12"/>
      <w:bookmarkStart w:id="364" w:name="Tc_oAm-AqV5TE6mgiACb44DpQ_9_8"/>
      <w:bookmarkStart w:id="365" w:name="Tc_nlZhqX8SoE25l6ASrq6QJw_9_6"/>
      <w:bookmarkStart w:id="366" w:name="Tc_aHwhkwYNJEOvxLLYQAB32A_9_0"/>
      <w:bookmarkStart w:id="367" w:name="Tc_v4AoqGlIsUSacK53LiqpyA_8_14"/>
      <w:bookmarkStart w:id="368" w:name="Tc_3AdQ2EYRZkm2F2D8mDapVg_8_10"/>
      <w:bookmarkStart w:id="369" w:name="Tc_rib-62Do2EG_rZ4dSwE3Mg_8_8"/>
      <w:bookmarkStart w:id="370" w:name="Tc_v1ifkEWjxkmHT6VR2d1-rA_8_6"/>
      <w:bookmarkStart w:id="371" w:name="Tc_uzjFjGpgykG80VcxiVgtRg_8_4"/>
      <w:bookmarkStart w:id="372" w:name="Tc_m5ebYp667Uehh-3IKWuwYA_8_2"/>
      <w:bookmarkStart w:id="373" w:name="Tc_Uh-kqPZGckiF3KKUG187Tw_8_0"/>
      <w:bookmarkStart w:id="374" w:name="Tc_abTX7LH9bUulue5n4nqOyA_7_12"/>
      <w:bookmarkStart w:id="375" w:name="Tc_mzX_pAbhg0CJvkRIx1NvwQ_7_10"/>
      <w:bookmarkStart w:id="376" w:name="Tc_UG_RWeyx306BkEfNY-pyGQ_7_8"/>
      <w:bookmarkStart w:id="377" w:name="Tc_8S4fohXt4Eq8WJQas7TDzw_7_6"/>
      <w:bookmarkStart w:id="378" w:name="Tc_CPl31FlJc0y0McIBnLwFeA_7_4"/>
      <w:bookmarkStart w:id="379" w:name="Tc_dqUAbbdqakiVkmZVFUaC-w_7_2"/>
      <w:bookmarkStart w:id="380" w:name="Tc_up2DXnI2Z0SY8A7ulwWPdg_7_0"/>
      <w:bookmarkStart w:id="381" w:name="Tc_D7Na2wdGTEq6cNPHDchmQw_6_8"/>
      <w:bookmarkStart w:id="382" w:name="Tc_ADt1kQbnkE6v34GOZww3hg_6_6"/>
      <w:bookmarkStart w:id="383" w:name="Tc_9cXeZCLEZEKaGK-gKa8FDw_6_0"/>
      <w:bookmarkStart w:id="384" w:name="Tc_VmnvGVJhb0m2Jx9Daqr2bA_5_16"/>
      <w:bookmarkStart w:id="385" w:name="Tc_yWfqTAWMJkSqbTarSHRFBQ_5_14"/>
      <w:bookmarkStart w:id="386" w:name="Tc_11mz1u0LZU6MG_FcPc1ePA_5_12"/>
      <w:bookmarkStart w:id="387" w:name="Tc_QvMk42UTl06DzW9hu3smxQ_5_10"/>
      <w:bookmarkStart w:id="388" w:name="Tc_CY7564n4iUKUYexltCngnw_5_8"/>
      <w:bookmarkStart w:id="389" w:name="Tc_fCe30vxKY0OOqHdYzQK9sQ_5_4"/>
      <w:bookmarkStart w:id="390" w:name="Tc_DtI_z8yTO0ue_-JK6CQvEA_4_16"/>
      <w:bookmarkStart w:id="391" w:name="Tc_w23tHMlASEmqIQwL7OoJCA_4_14"/>
      <w:bookmarkStart w:id="392" w:name="Tc_H8PWqnKQBUO7IJ5dt0ajZw_4_12"/>
      <w:bookmarkStart w:id="393" w:name="Tc_TBUnvJngK0-a9CpQ5aXF9w_4_10"/>
      <w:bookmarkStart w:id="394" w:name="Tc_L8ivEBLa40yGfwAgaJ9FLQ_4_8"/>
      <w:bookmarkStart w:id="395" w:name="Tc_7dckkw3N1kKn1bowaqvi9w_4_6"/>
      <w:bookmarkStart w:id="396" w:name="Tc_OsTXDiAQ9ECbjgfJ0-eOZg_4_4"/>
      <w:bookmarkStart w:id="397" w:name="Tc_hTq_gUMocUSgBqTegUZeUA_4_2"/>
      <w:bookmarkStart w:id="398" w:name="Tc_Mc1TnFQUPUWv1H05gJa-MQ_3_16"/>
      <w:bookmarkStart w:id="399" w:name="Tc_ZN2OV_Kdlk2vbLTJ6pyBGw_3_14"/>
      <w:bookmarkStart w:id="400" w:name="Tc_DchXT5wm9kqPWlwsdxeB-w_3_12"/>
      <w:bookmarkStart w:id="401" w:name="Tc_TrP8YA2YHUGxpwk-osnp-Q_3_10"/>
      <w:bookmarkStart w:id="402" w:name="Tc_APq6YekMs0a6XtIeCcSQ_A_3_6"/>
      <w:bookmarkStart w:id="403" w:name="Tc_JZkdF4oQjkyZIeiahAnj-w_3_2"/>
      <w:bookmarkStart w:id="404" w:name="Tc_9EWBulbfV0S0BYM1kF0SlA_2_16"/>
      <w:bookmarkStart w:id="405" w:name="Tc_iWrbElmcZEKOT5BrP4GpFg_2_12"/>
      <w:bookmarkStart w:id="406" w:name="Tc_9KlG5uRxVkmXxtI-TdSH0g_2_10"/>
      <w:bookmarkStart w:id="407" w:name="Tc_AmlXKwNEwE2I3iMJpLzAkA_2_6"/>
      <w:bookmarkStart w:id="408" w:name="Tc_CMRS4b2ed02UABo62Ib62A_2_2"/>
      <w:bookmarkStart w:id="409" w:name="Tc_akHgxGvPg0yEr0yB4WKGBw_1_12"/>
      <w:bookmarkStart w:id="410" w:name="_0a548a04_b443_4f49_9e7f_9eebab1adf8e"/>
      <w:bookmarkStart w:id="411" w:name="Tc_pKeI104zQk2Thy3W2qqqdQ_13_8"/>
      <w:bookmarkStart w:id="412" w:name="Tc_IUpP6pdsw0SvvXgQyCKBKA_13_6"/>
      <w:bookmarkStart w:id="413" w:name="Tc_706KW-x9L0e994DaYZtDWA_13_0"/>
      <w:bookmarkStart w:id="414" w:name="Tc_5H3qMztruUOHQzl0sxkEbw_12_14"/>
      <w:bookmarkStart w:id="415" w:name="Tc_Nmes0Re3BkOECrOZxzi-Bw_12_12"/>
      <w:bookmarkStart w:id="416" w:name="Tc_5vUElN7eM0SuzZLkR-eEuA_12_8"/>
      <w:bookmarkStart w:id="417" w:name="Tc_2ufgclvu4k-A960dLD4DbA_12_6"/>
      <w:bookmarkStart w:id="418" w:name="Tc_LCNL0RPIzkmIDL6Kmj0kCA_12_0"/>
      <w:bookmarkStart w:id="419" w:name="Tc_LQULUZqEH0SXuJQAwfdJ6w_11_14"/>
      <w:bookmarkStart w:id="420" w:name="Tc_qedOXfnrz0yhew0WeTciDA_11_12"/>
      <w:bookmarkStart w:id="421" w:name="Tc_9zd2nyOC7ECFaKG3fCR8QQ_11_8"/>
      <w:bookmarkStart w:id="422" w:name="Tc_zVb1OOUOmEaoRBFMzouHXg_11_6"/>
      <w:bookmarkStart w:id="423" w:name="Tc_FAteWPAINk-Z0fNlXrDIfQ_11_0"/>
      <w:bookmarkStart w:id="424" w:name="Tc_rD3b7uZLtUK6GjjjnvnuMQ_10_14"/>
      <w:bookmarkStart w:id="425" w:name="Tc_oK3aaQZKTEaPRfFu-1wY6g_10_12"/>
      <w:bookmarkStart w:id="426" w:name="Tc_5SBuj77X0EOG4YhA0IJYIg_10_8"/>
      <w:bookmarkStart w:id="427" w:name="Tc_8B1LAc_4I0ma8kDWgXfMCQ_10_6"/>
      <w:bookmarkStart w:id="428" w:name="Tc_nMZI5585KkGXLOpMyPzy4Q_10_4"/>
      <w:bookmarkStart w:id="429" w:name="Tc_eLvUtYgO5kSJSq_scvm0wQ_10_2"/>
      <w:bookmarkStart w:id="430" w:name="Tc_G6syiAQHnUGKJ23xgzGiUQ_10_0"/>
      <w:bookmarkStart w:id="431" w:name="Tc_vWOVC-YXLU6qsleeqc58YQ_9_14"/>
      <w:bookmarkStart w:id="432" w:name="Tc_Msjh1nYE-EGNXunOX6939w_9_12"/>
      <w:bookmarkStart w:id="433" w:name="Tc_oAm-AqV5TE6mgiACb44DpQ_9_8"/>
      <w:bookmarkStart w:id="434" w:name="Tc_nlZhqX8SoE25l6ASrq6QJw_9_6"/>
      <w:bookmarkStart w:id="435" w:name="Tc_aHwhkwYNJEOvxLLYQAB32A_9_0"/>
      <w:bookmarkStart w:id="436" w:name="Tc_v4AoqGlIsUSacK53LiqpyA_8_14"/>
      <w:bookmarkStart w:id="437" w:name="Tc_3AdQ2EYRZkm2F2D8mDapVg_8_10"/>
      <w:bookmarkStart w:id="438" w:name="Tc_rib-62Do2EG_rZ4dSwE3Mg_8_8"/>
      <w:bookmarkStart w:id="439" w:name="Tc_v1ifkEWjxkmHT6VR2d1-rA_8_6"/>
      <w:bookmarkStart w:id="440" w:name="Tc_uzjFjGpgykG80VcxiVgtRg_8_4"/>
      <w:bookmarkStart w:id="441" w:name="Tc_m5ebYp667Uehh-3IKWuwYA_8_2"/>
      <w:bookmarkStart w:id="442" w:name="Tc_Uh-kqPZGckiF3KKUG187Tw_8_0"/>
      <w:bookmarkStart w:id="443" w:name="Tc_abTX7LH9bUulue5n4nqOyA_7_12"/>
      <w:bookmarkStart w:id="444" w:name="Tc_mzX_pAbhg0CJvkRIx1NvwQ_7_10"/>
      <w:bookmarkStart w:id="445" w:name="Tc_UG_RWeyx306BkEfNY-pyGQ_7_8"/>
      <w:bookmarkStart w:id="446" w:name="Tc_8S4fohXt4Eq8WJQas7TDzw_7_6"/>
      <w:bookmarkStart w:id="447" w:name="Tc_CPl31FlJc0y0McIBnLwFeA_7_4"/>
      <w:bookmarkStart w:id="448" w:name="Tc_dqUAbbdqakiVkmZVFUaC-w_7_2"/>
      <w:bookmarkStart w:id="449" w:name="Tc_up2DXnI2Z0SY8A7ulwWPdg_7_0"/>
      <w:bookmarkStart w:id="450" w:name="Tc_D7Na2wdGTEq6cNPHDchmQw_6_8"/>
      <w:bookmarkStart w:id="451" w:name="Tc_ADt1kQbnkE6v34GOZww3hg_6_6"/>
      <w:bookmarkStart w:id="452" w:name="Tc_9cXeZCLEZEKaGK-gKa8FDw_6_0"/>
      <w:bookmarkStart w:id="453" w:name="Tc_VmnvGVJhb0m2Jx9Daqr2bA_5_16"/>
      <w:bookmarkStart w:id="454" w:name="Tc_yWfqTAWMJkSqbTarSHRFBQ_5_14"/>
      <w:bookmarkStart w:id="455" w:name="Tc_11mz1u0LZU6MG_FcPc1ePA_5_12"/>
      <w:bookmarkStart w:id="456" w:name="Tc_QvMk42UTl06DzW9hu3smxQ_5_10"/>
      <w:bookmarkStart w:id="457" w:name="Tc_CY7564n4iUKUYexltCngnw_5_8"/>
      <w:bookmarkStart w:id="458" w:name="Tc_fCe30vxKY0OOqHdYzQK9sQ_5_4"/>
      <w:bookmarkStart w:id="459" w:name="Tc_DtI_z8yTO0ue_-JK6CQvEA_4_16"/>
      <w:bookmarkStart w:id="460" w:name="Tc_w23tHMlASEmqIQwL7OoJCA_4_14"/>
      <w:bookmarkStart w:id="461" w:name="Tc_H8PWqnKQBUO7IJ5dt0ajZw_4_12"/>
      <w:bookmarkStart w:id="462" w:name="Tc_TBUnvJngK0-a9CpQ5aXF9w_4_10"/>
      <w:bookmarkStart w:id="463" w:name="Tc_L8ivEBLa40yGfwAgaJ9FLQ_4_8"/>
      <w:bookmarkStart w:id="464" w:name="Tc_7dckkw3N1kKn1bowaqvi9w_4_6"/>
      <w:bookmarkStart w:id="465" w:name="Tc_OsTXDiAQ9ECbjgfJ0-eOZg_4_4"/>
      <w:bookmarkStart w:id="466" w:name="Tc_hTq_gUMocUSgBqTegUZeUA_4_2"/>
      <w:bookmarkStart w:id="467" w:name="Tc_Mc1TnFQUPUWv1H05gJa-MQ_3_16"/>
      <w:bookmarkStart w:id="468" w:name="Tc_ZN2OV_Kdlk2vbLTJ6pyBGw_3_14"/>
      <w:bookmarkStart w:id="469" w:name="Tc_DchXT5wm9kqPWlwsdxeB-w_3_12"/>
      <w:bookmarkStart w:id="470" w:name="Tc_TrP8YA2YHUGxpwk-osnp-Q_3_10"/>
      <w:bookmarkStart w:id="471" w:name="Tc_APq6YekMs0a6XtIeCcSQ_A_3_6"/>
      <w:bookmarkStart w:id="472" w:name="Tc_JZkdF4oQjkyZIeiahAnj-w_3_2"/>
      <w:bookmarkStart w:id="473" w:name="Tc_9EWBulbfV0S0BYM1kF0SlA_2_16"/>
      <w:bookmarkStart w:id="474" w:name="Tc_iWrbElmcZEKOT5BrP4GpFg_2_12"/>
      <w:bookmarkStart w:id="475" w:name="Tc_9KlG5uRxVkmXxtI-TdSH0g_2_10"/>
      <w:bookmarkStart w:id="476" w:name="Tc_AmlXKwNEwE2I3iMJpLzAkA_2_6"/>
      <w:bookmarkStart w:id="477" w:name="Tc_CMRS4b2ed02UABo62Ib62A_2_2"/>
      <w:bookmarkStart w:id="478" w:name="Tc_akHgxGvPg0yEr0yB4WKGBw_1_12"/>
      <w:bookmarkStart w:id="479" w:name="_0a548a04_b443_4f49_9e7f_9eebab1adf8e"/>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tbl>
      <w:tblPr>
        <w:tblW w:w="12077" w:type="dxa"/>
        <w:jc w:val="left"/>
        <w:tblInd w:w="0" w:type="dxa"/>
        <w:tblLayout w:type="fixed"/>
        <w:tblCellMar>
          <w:top w:w="0" w:type="dxa"/>
          <w:left w:w="0" w:type="dxa"/>
          <w:bottom w:w="0" w:type="dxa"/>
          <w:right w:w="0" w:type="dxa"/>
        </w:tblCellMar>
      </w:tblPr>
      <w:tblGrid>
        <w:gridCol w:w="1351"/>
        <w:gridCol w:w="346"/>
        <w:gridCol w:w="1036"/>
        <w:gridCol w:w="346"/>
        <w:gridCol w:w="691"/>
        <w:gridCol w:w="346"/>
        <w:gridCol w:w="886"/>
        <w:gridCol w:w="346"/>
        <w:gridCol w:w="691"/>
        <w:gridCol w:w="346"/>
        <w:gridCol w:w="1141"/>
        <w:gridCol w:w="346"/>
        <w:gridCol w:w="1171"/>
        <w:gridCol w:w="346"/>
        <w:gridCol w:w="1201"/>
        <w:gridCol w:w="346"/>
        <w:gridCol w:w="114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857885" cy="175260"/>
                      <wp:effectExtent l="0" t="0" r="0" b="0"/>
                      <wp:wrapNone/>
                      <wp:docPr id="63" name="Frame5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57860" cy="175260"/>
                      <wp:effectExtent l="0" t="0" r="0" b="0"/>
                      <wp:wrapNone/>
                      <wp:docPr id="65" name="Frame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38785" cy="175260"/>
                      <wp:effectExtent l="0" t="0" r="0" b="0"/>
                      <wp:wrapNone/>
                      <wp:docPr id="67" name="Frame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5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38785" cy="175260"/>
                      <wp:effectExtent l="0" t="0" r="0" b="0"/>
                      <wp:wrapNone/>
                      <wp:docPr id="71" name="Frame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24535" cy="175260"/>
                      <wp:effectExtent l="0" t="0" r="0" b="0"/>
                      <wp:wrapNone/>
                      <wp:docPr id="73" name="Frame6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43585" cy="175260"/>
                      <wp:effectExtent l="0" t="0" r="0" b="0"/>
                      <wp:wrapNone/>
                      <wp:docPr id="75" name="Frame6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762635" cy="175260"/>
                      <wp:effectExtent l="0" t="0" r="0" b="0"/>
                      <wp:wrapNone/>
                      <wp:docPr id="77" name="Frame6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24535" cy="175260"/>
                      <wp:effectExtent l="0" t="0" r="0" b="0"/>
                      <wp:wrapNone/>
                      <wp:docPr id="79" name="Frame6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3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6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88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6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60"/>
              <w:ind w:left="0" w:right="0" w:hanging="0"/>
              <w:jc w:val="center"/>
              <w:rPr/>
            </w:pPr>
            <w:r>
              <w:rPr/>
              <w:t>​</w:t>
            </w:r>
          </w:p>
        </w:tc>
      </w:tr>
      <w:tr>
        <w:trPr/>
        <w:tc>
          <w:tcPr>
            <w:tcW w:w="135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207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lineRule="auto" w:line="304" w:before="0" w:after="160"/>
              <w:ind w:left="0" w:right="0" w:hanging="0"/>
              <w:jc w:val="center"/>
              <w:rPr/>
            </w:pPr>
            <w:r>
              <w:rPr/>
              <w:t>​</w:t>
            </w:r>
          </w:p>
        </w:tc>
        <w:tc>
          <w:tcPr>
            <w:tcW w:w="192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
              <w:ind w:left="0" w:right="0" w:hanging="0"/>
              <w:jc w:val="center"/>
              <w:rPr/>
            </w:pPr>
            <w:r>
              <w:rPr/>
              <w:t>  ​ ​ ​</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5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3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8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b/>
                <w:sz w:val="16"/>
              </w:rPr>
              <w:t>paid</w:t>
            </w:r>
            <w:r>
              <w:rPr>
                <w:rFonts w:ascii="Times New Roman;Times;serif" w:hAnsi="Times New Roman;Times;serif"/>
                <w:sz w:val="16"/>
              </w:rPr>
              <w:noBreakHyphen/>
            </w:r>
            <w:r>
              <w:rPr>
                <w:rFonts w:ascii="Times New Roman;Times;serif" w:hAnsi="Times New Roman;Times;serif"/>
                <w:b/>
                <w:sz w:val="16"/>
              </w:rPr>
              <w:t>in</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35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4"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304" w:before="0" w:after="1"/>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304"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304"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lineRule="auto" w:line="304" w:before="0" w:after="1"/>
              <w:ind w:left="0" w:right="0" w:hanging="0"/>
              <w:jc w:val="center"/>
              <w:rPr/>
            </w:pPr>
            <w:r>
              <w:rPr/>
              <w:t>  ​ ​ ​</w:t>
            </w:r>
          </w:p>
        </w:tc>
        <w:tc>
          <w:tcPr>
            <w:tcW w:w="117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lineRule="auto" w:line="304" w:before="0" w:after="1"/>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lineRule="auto" w:line="304"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88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6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17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2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35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Balance as of December 31, 2025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59,231,993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5,923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88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366,043,455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7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(1,914,831)</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(328,785,000)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35,349,547</w:t>
            </w:r>
          </w:p>
        </w:tc>
      </w:tr>
      <w:tr>
        <w:trPr/>
        <w:tc>
          <w:tcPr>
            <w:tcW w:w="135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304" w:before="0" w:after="1"/>
              <w:ind w:left="0" w:right="0" w:hanging="0"/>
              <w:jc w:val="left"/>
              <w:rPr/>
            </w:pPr>
            <w:r>
              <w:rPr/>
              <w:t> </w:t>
            </w:r>
          </w:p>
        </w:tc>
        <w:tc>
          <w:tcPr>
            <w:tcW w:w="103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88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7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(16,378,832)</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(16,378,832)</w:t>
            </w:r>
          </w:p>
        </w:tc>
      </w:tr>
      <w:tr>
        <w:trPr/>
        <w:tc>
          <w:tcPr>
            <w:tcW w:w="135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3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88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7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(245,054)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(245,054)</w:t>
            </w:r>
          </w:p>
        </w:tc>
      </w:tr>
      <w:tr>
        <w:trPr/>
        <w:tc>
          <w:tcPr>
            <w:tcW w:w="135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 of share options (Note 10)</w:t>
            </w:r>
          </w:p>
        </w:tc>
        <w:tc>
          <w:tcPr>
            <w:tcW w:w="346" w:type="dxa"/>
            <w:tcBorders/>
            <w:vAlign w:val="center"/>
          </w:tcPr>
          <w:p>
            <w:pPr>
              <w:pStyle w:val="TableContents"/>
              <w:bidi w:val="0"/>
              <w:spacing w:lineRule="auto" w:line="304" w:before="0" w:after="1"/>
              <w:ind w:left="0" w:right="0" w:hanging="0"/>
              <w:jc w:val="left"/>
              <w:rPr/>
            </w:pPr>
            <w:r>
              <w:rPr/>
              <w:t> </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326,934</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1"/>
              <w:ind w:left="0" w:right="0" w:hanging="0"/>
              <w:jc w:val="left"/>
              <w:rPr/>
            </w:pPr>
            <w:r>
              <w:rPr/>
              <w:t> </w:t>
            </w:r>
          </w:p>
        </w:tc>
        <w:tc>
          <w:tcPr>
            <w:tcW w:w="88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415,010</w:t>
            </w:r>
          </w:p>
        </w:tc>
        <w:tc>
          <w:tcPr>
            <w:tcW w:w="346" w:type="dxa"/>
            <w:tcBorders/>
            <w:vAlign w:val="center"/>
          </w:tcPr>
          <w:p>
            <w:pPr>
              <w:pStyle w:val="TableContents"/>
              <w:bidi w:val="0"/>
              <w:spacing w:lineRule="auto" w:line="304" w:before="0" w:after="1"/>
              <w:ind w:left="0" w:right="0" w:hanging="0"/>
              <w:jc w:val="left"/>
              <w:rPr/>
            </w:pPr>
            <w:r>
              <w:rPr/>
              <w:t> </w:t>
            </w:r>
          </w:p>
        </w:tc>
        <w:tc>
          <w:tcPr>
            <w:tcW w:w="117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415,043</w:t>
            </w:r>
          </w:p>
        </w:tc>
      </w:tr>
      <w:tr>
        <w:trPr/>
        <w:tc>
          <w:tcPr>
            <w:tcW w:w="135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Share-based compensation (Note 10)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8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6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2,131,758</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7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20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2,131,758</w:t>
            </w:r>
          </w:p>
        </w:tc>
      </w:tr>
      <w:tr>
        <w:trPr/>
        <w:tc>
          <w:tcPr>
            <w:tcW w:w="135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upon the underwritten public offering (the “Offering”), net of issuance cost (Note 18)</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23,332,500</w:t>
            </w:r>
          </w:p>
        </w:tc>
        <w:tc>
          <w:tcPr>
            <w:tcW w:w="346" w:type="dxa"/>
            <w:tcBorders/>
            <w:vAlign w:val="center"/>
          </w:tcPr>
          <w:p>
            <w:pPr>
              <w:pStyle w:val="TableContents"/>
              <w:bidi w:val="0"/>
              <w:spacing w:lineRule="auto" w:line="304" w:before="0" w:after="160"/>
              <w:ind w:left="0" w:right="0" w:hanging="0"/>
              <w:jc w:val="left"/>
              <w:rPr/>
            </w:pPr>
            <w:r>
              <w:rPr/>
              <w:t>​</w:t>
            </w:r>
          </w:p>
        </w:tc>
        <w:tc>
          <w:tcPr>
            <w:tcW w:w="69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2,333</w:t>
            </w:r>
          </w:p>
        </w:tc>
        <w:tc>
          <w:tcPr>
            <w:tcW w:w="346" w:type="dxa"/>
            <w:tcBorders/>
            <w:vAlign w:val="center"/>
          </w:tcPr>
          <w:p>
            <w:pPr>
              <w:pStyle w:val="TableContents"/>
              <w:bidi w:val="0"/>
              <w:spacing w:lineRule="auto" w:line="304" w:before="0" w:after="160"/>
              <w:ind w:left="0" w:right="0" w:hanging="0"/>
              <w:jc w:val="left"/>
              <w:rPr/>
            </w:pPr>
            <w:r>
              <w:rPr/>
              <w:t>​</w:t>
            </w:r>
          </w:p>
        </w:tc>
        <w:tc>
          <w:tcPr>
            <w:tcW w:w="88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6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65,545,317</w:t>
            </w:r>
          </w:p>
        </w:tc>
        <w:tc>
          <w:tcPr>
            <w:tcW w:w="346" w:type="dxa"/>
            <w:tcBorders/>
            <w:vAlign w:val="center"/>
          </w:tcPr>
          <w:p>
            <w:pPr>
              <w:pStyle w:val="TableContents"/>
              <w:bidi w:val="0"/>
              <w:spacing w:lineRule="auto" w:line="304" w:before="0" w:after="160"/>
              <w:ind w:left="0" w:right="0" w:hanging="0"/>
              <w:jc w:val="left"/>
              <w:rPr/>
            </w:pPr>
            <w:r>
              <w:rPr/>
              <w:t>​</w:t>
            </w:r>
          </w:p>
        </w:tc>
        <w:tc>
          <w:tcPr>
            <w:tcW w:w="117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20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65,547,650</w:t>
            </w:r>
          </w:p>
        </w:tc>
      </w:tr>
      <w:tr>
        <w:trPr/>
        <w:tc>
          <w:tcPr>
            <w:tcW w:w="135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Issuance of ordinary shares upon the at-the-market equity offering program (the “ATM Offering”), net of issuance cost (Note 18)</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1,037,753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2,633,202</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2,633,306</w:t>
            </w:r>
          </w:p>
        </w:tc>
      </w:tr>
      <w:tr>
        <w:trPr/>
        <w:tc>
          <w:tcPr>
            <w:tcW w:w="1351" w:type="dxa"/>
            <w:tcBorders/>
            <w:vAlign w:val="center"/>
          </w:tcPr>
          <w:p>
            <w:pPr>
              <w:pStyle w:val="TableContents"/>
              <w:pBdr/>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346" w:type="dxa"/>
            <w:tcBorders/>
            <w:vAlign w:val="center"/>
          </w:tcPr>
          <w:p>
            <w:pPr>
              <w:pStyle w:val="TableContents"/>
              <w:bidi w:val="0"/>
              <w:spacing w:lineRule="auto" w:line="304"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83,929,180</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8,393</w:t>
            </w:r>
          </w:p>
        </w:tc>
        <w:tc>
          <w:tcPr>
            <w:tcW w:w="346" w:type="dxa"/>
            <w:tcBorders/>
            <w:vAlign w:val="center"/>
          </w:tcPr>
          <w:p>
            <w:pPr>
              <w:pStyle w:val="TableContents"/>
              <w:bidi w:val="0"/>
              <w:spacing w:lineRule="auto" w:line="304"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436,768,742</w:t>
            </w:r>
          </w:p>
        </w:tc>
        <w:tc>
          <w:tcPr>
            <w:tcW w:w="346" w:type="dxa"/>
            <w:tcBorders/>
            <w:vAlign w:val="center"/>
          </w:tcPr>
          <w:p>
            <w:pPr>
              <w:pStyle w:val="TableContents"/>
              <w:bidi w:val="0"/>
              <w:spacing w:lineRule="auto" w:line="304"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(2,159,885)</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(345,163,832)</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89,453,418</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lineRule="auto" w:line="285" w:before="0" w:after="240"/>
        <w:ind w:left="0" w:right="0" w:firstLine="720"/>
        <w:jc w:val="center"/>
        <w:rPr/>
      </w:pPr>
      <w:r>
        <w:rPr/>
        <w:t>​</w:t>
      </w:r>
    </w:p>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20"/>
        <w:ind w:left="0" w:right="0" w:hanging="0"/>
        <w:jc w:val="center"/>
        <w:rPr>
          <w:rFonts w:ascii="Times New Roman;Times;serif" w:hAnsi="Times New Roman;Times;serif"/>
          <w:b/>
          <w:sz w:val="20"/>
        </w:rPr>
      </w:pPr>
      <w:bookmarkStart w:id="480" w:name="_e4be589f_9010_462e_9757_7960d50e3728"/>
      <w:bookmarkEnd w:id="480"/>
      <w:r>
        <w:rPr>
          <w:rFonts w:ascii="Times New Roman;Times;serif" w:hAnsi="Times New Roman;Times;serif"/>
          <w:b/>
          <w:sz w:val="20"/>
        </w:rPr>
        <w:t>ADAGENE INC.</w:t>
      </w:r>
    </w:p>
    <w:p>
      <w:pPr>
        <w:pStyle w:val="TextBody"/>
        <w:bidi w:val="0"/>
        <w:spacing w:lineRule="auto" w:line="285" w:before="0" w:after="120"/>
        <w:ind w:left="0" w:right="0" w:hanging="0"/>
        <w:jc w:val="center"/>
        <w:rPr>
          <w:rFonts w:ascii="Times New Roman;Times;serif" w:hAnsi="Times New Roman;Times;serif"/>
          <w:b/>
          <w:sz w:val="20"/>
        </w:rPr>
      </w:pPr>
      <w:bookmarkStart w:id="481" w:name="CONSOLIDATEDSTATEMENTSOFCASHFLOWS_933280"/>
      <w:bookmarkEnd w:id="481"/>
      <w:r>
        <w:rPr>
          <w:rFonts w:ascii="Times New Roman;Times;serif" w:hAnsi="Times New Roman;Times;serif"/>
          <w:b/>
          <w:sz w:val="20"/>
        </w:rPr>
        <w:t>UNAUDITED INTERIM CONDENSED 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2025 AND 2026</w:t>
      </w:r>
    </w:p>
    <w:p>
      <w:pPr>
        <w:pStyle w:val="TextBody"/>
        <w:bidi w:val="0"/>
        <w:spacing w:lineRule="auto" w:line="285" w:before="0" w:after="240"/>
        <w:ind w:left="0" w:right="0" w:firstLine="720"/>
        <w:jc w:val="left"/>
        <w:rPr/>
      </w:pPr>
      <w:r>
        <w:rPr/>
        <w:t>​</w:t>
      </w:r>
    </w:p>
    <w:p>
      <w:pPr>
        <w:pStyle w:val="Normal"/>
        <w:bidi w:val="0"/>
        <w:spacing w:before="0" w:after="0"/>
        <w:jc w:val="left"/>
        <w:rPr>
          <w:sz w:val="4"/>
          <w:szCs w:val="4"/>
        </w:rPr>
      </w:pPr>
      <w:r>
        <w:rPr>
          <w:sz w:val="4"/>
          <w:szCs w:val="4"/>
        </w:rPr>
      </w:r>
      <w:bookmarkStart w:id="482" w:name="Tc_zYkXxzbFnUCxs0KTd_R7Zw_48_2"/>
      <w:bookmarkStart w:id="483" w:name="Tc_KPHAeYEzukql59OtleCMCQ_48_0"/>
      <w:bookmarkStart w:id="484" w:name="Tc_F8zC8-RQlUeKXM2DkJwdfQ_47_0"/>
      <w:bookmarkStart w:id="485" w:name="Tc_ixSz94D1EUmB898iSdwqFA_46_0"/>
      <w:bookmarkStart w:id="486" w:name="Tc_sNLHc316hEa0TyqPpRCosg_45_0"/>
      <w:bookmarkStart w:id="487" w:name="Tc_8mfbJ1vu40GNcm3MtJ3Fng_44_0"/>
      <w:bookmarkStart w:id="488" w:name="Tc_a1hnXSegwUCcD9uDdtyJyw_43_0"/>
      <w:bookmarkStart w:id="489" w:name="Tc_wdeJunbWkUqX34GDA_RBQg_42_0"/>
      <w:bookmarkStart w:id="490" w:name="Tc_5239UJke-Uibf5ktYn5jfQ_41_0"/>
      <w:bookmarkStart w:id="491" w:name="Tc_wwCzXdT9AkW8OSJms1uohg_40_0"/>
      <w:bookmarkStart w:id="492" w:name="Tc_VxBWjURuVUGEsy4HpEBBtw_39_0"/>
      <w:bookmarkStart w:id="493" w:name="Tc_QwE6fRC4d0u9918xGT0b1Q_38_0"/>
      <w:bookmarkStart w:id="494" w:name="Tc_O4Jpn8oeDkOkuRvy4yNKNQ_37_2"/>
      <w:bookmarkStart w:id="495" w:name="Tc_NzHLjGi1002vLBrKuqqhxw_37_0"/>
      <w:bookmarkStart w:id="496" w:name="Tc_sgGWpcWtrkSnSuts0HCM0w_36_2"/>
      <w:bookmarkStart w:id="497" w:name="Tc_seYOAnCpZUOVyVZH5RtR2A_36_0"/>
      <w:bookmarkStart w:id="498" w:name="Tc_mTS0d9-e00Gcb9JDqcICVA_35_0"/>
      <w:bookmarkStart w:id="499" w:name="Tc_Ml3WyAw22U-aM0dgVV4X8A_34_4"/>
      <w:bookmarkStart w:id="500" w:name="Tc_qB_p1vMH4U6fxRriQpitnA_34_2"/>
      <w:bookmarkStart w:id="501" w:name="Tc_9FEoFaN70UO3TkEPfJrrSA_34_0"/>
      <w:bookmarkStart w:id="502" w:name="Tc_I5e7pD3D5EuZC1OX8Yyy5g_33_0"/>
      <w:bookmarkStart w:id="503" w:name="Tc_dcyReKeKsUidDxdRXMrk7w_32_0"/>
      <w:bookmarkStart w:id="504" w:name="Tc_s3uybDxU5EeziCGHME-zlg_31_0"/>
      <w:bookmarkStart w:id="505" w:name="Tc_Ck5DHYa9YEWZRsH1TV9VKw_30_2"/>
      <w:bookmarkStart w:id="506" w:name="Tc_YzQ5soHKd0CG4iHeaOTByg_30_0"/>
      <w:bookmarkStart w:id="507" w:name="Tc_iJdogyy-1kmo-O3ztd7lMw_29_0"/>
      <w:bookmarkStart w:id="508" w:name="Tc__6tYlrLfA0O5HzamB_zxBA_28_0"/>
      <w:bookmarkStart w:id="509" w:name="Tc_iB4IxzXlck-pO4KoiOl1BA_27_0"/>
      <w:bookmarkStart w:id="510" w:name="Tc_wS0kqqtXGkywFm4ftER1ZA_26_0"/>
      <w:bookmarkStart w:id="511" w:name="Tc_o668pVudfkGBpIU4goTcFg_25_0"/>
      <w:bookmarkStart w:id="512" w:name="Tc_VsPk_Y6h1kmQxDXDxSvYqA_24_0"/>
      <w:bookmarkStart w:id="513" w:name="Tc_XjOfJKnddkmPDlfSFhNrUw_23_0"/>
      <w:bookmarkStart w:id="514" w:name="Tc_E1CBVc0-20KLCblFibUN6g_22_0"/>
      <w:bookmarkStart w:id="515" w:name="Tc_E4ADxNKxrUys9O-BgS90Lg_21_2"/>
      <w:bookmarkStart w:id="516" w:name="Tc_oOVOozP12U65M7mXklzYdA_21_0"/>
      <w:bookmarkStart w:id="517" w:name="Tc_or2BSQNEHE2leJmEbPLqsw_20_0"/>
      <w:bookmarkStart w:id="518" w:name="Tc_2XGtW16hb02CFYZ58BH-iw_19_0"/>
      <w:bookmarkStart w:id="519" w:name="Tc_lj-Sa-Xt_k6UBDfO8_j0ww_18_0"/>
      <w:bookmarkStart w:id="520" w:name="Tc_CL1NNbzgt02revyJVR6erA_17_0"/>
      <w:bookmarkStart w:id="521" w:name="Tc_mZhIR__NxEmsACh8t0lFDQ_16_2"/>
      <w:bookmarkStart w:id="522" w:name="Tc_lcOPXj2O4EK7VLBjcGutgg_16_0"/>
      <w:bookmarkStart w:id="523" w:name="Tc_K75W2DOzLEKi03Yz67iB-Q_15_0"/>
      <w:bookmarkStart w:id="524" w:name="Tc_McRQJ8mhGkOrW_CEckl-Dw_14_2"/>
      <w:bookmarkStart w:id="525" w:name="Tc_IQlJaolAoEyOgTtOjjsagA_14_0"/>
      <w:bookmarkStart w:id="526" w:name="Tc_iENdXEZHtEW_5VxyQre8iw_13_0"/>
      <w:bookmarkStart w:id="527" w:name="Tc_3wmLmt_Z8kGSV87QF4FFTQ_12_0"/>
      <w:bookmarkStart w:id="528" w:name="Tc_ADta_02voEiEzwR9ye_olg_11_0"/>
      <w:bookmarkStart w:id="529" w:name="Tc_VsZdojDnO0eRPTMonrJWwQ_10_0"/>
      <w:bookmarkStart w:id="530" w:name="Tc_XxkGJnkBbkqTkCnz1ci6sA_9_0"/>
      <w:bookmarkStart w:id="531" w:name="Tc_SbdIQazHH06xw0DoWX5emQ_8_0"/>
      <w:bookmarkStart w:id="532" w:name="Tc_uNEdNM_j-kWWNoWHkuBl9Q_7_0"/>
      <w:bookmarkStart w:id="533" w:name="Tc_QopeWfH0Bk-susUCmrbkbA_6_0"/>
      <w:bookmarkStart w:id="534" w:name="Tc_WxAx08twqkKoFks-D9HTLg_5_0"/>
      <w:bookmarkStart w:id="535" w:name="Tc_Cw-pF77RTEOFX1XXYdQCWA_4_4"/>
      <w:bookmarkStart w:id="536" w:name="Tc_ofF90U9ue0KpW7UVXo7dPQ_4_2"/>
      <w:bookmarkStart w:id="537" w:name="Tc_91nWJwaNyEmd18OyCX7IRA_3_4"/>
      <w:bookmarkStart w:id="538" w:name="Tc_AFEbFgNBg0icFDkxy0D9cQ_3_2"/>
      <w:bookmarkStart w:id="539" w:name="Tc_5KpkRr3ZiE2gOzB1qsROyg_2_2"/>
      <w:bookmarkStart w:id="540" w:name="Tc_SJs0lLdvzECieT927LNEew_1_2"/>
      <w:bookmarkStart w:id="541" w:name="_8d7a301d_930c_42e9_ab93_7caa01beeaef"/>
      <w:bookmarkStart w:id="542" w:name="Tc_zYkXxzbFnUCxs0KTd_R7Zw_48_2"/>
      <w:bookmarkStart w:id="543" w:name="Tc_KPHAeYEzukql59OtleCMCQ_48_0"/>
      <w:bookmarkStart w:id="544" w:name="Tc_F8zC8-RQlUeKXM2DkJwdfQ_47_0"/>
      <w:bookmarkStart w:id="545" w:name="Tc_ixSz94D1EUmB898iSdwqFA_46_0"/>
      <w:bookmarkStart w:id="546" w:name="Tc_sNLHc316hEa0TyqPpRCosg_45_0"/>
      <w:bookmarkStart w:id="547" w:name="Tc_8mfbJ1vu40GNcm3MtJ3Fng_44_0"/>
      <w:bookmarkStart w:id="548" w:name="Tc_a1hnXSegwUCcD9uDdtyJyw_43_0"/>
      <w:bookmarkStart w:id="549" w:name="Tc_wdeJunbWkUqX34GDA_RBQg_42_0"/>
      <w:bookmarkStart w:id="550" w:name="Tc_5239UJke-Uibf5ktYn5jfQ_41_0"/>
      <w:bookmarkStart w:id="551" w:name="Tc_wwCzXdT9AkW8OSJms1uohg_40_0"/>
      <w:bookmarkStart w:id="552" w:name="Tc_VxBWjURuVUGEsy4HpEBBtw_39_0"/>
      <w:bookmarkStart w:id="553" w:name="Tc_QwE6fRC4d0u9918xGT0b1Q_38_0"/>
      <w:bookmarkStart w:id="554" w:name="Tc_O4Jpn8oeDkOkuRvy4yNKNQ_37_2"/>
      <w:bookmarkStart w:id="555" w:name="Tc_NzHLjGi1002vLBrKuqqhxw_37_0"/>
      <w:bookmarkStart w:id="556" w:name="Tc_sgGWpcWtrkSnSuts0HCM0w_36_2"/>
      <w:bookmarkStart w:id="557" w:name="Tc_seYOAnCpZUOVyVZH5RtR2A_36_0"/>
      <w:bookmarkStart w:id="558" w:name="Tc_mTS0d9-e00Gcb9JDqcICVA_35_0"/>
      <w:bookmarkStart w:id="559" w:name="Tc_Ml3WyAw22U-aM0dgVV4X8A_34_4"/>
      <w:bookmarkStart w:id="560" w:name="Tc_qB_p1vMH4U6fxRriQpitnA_34_2"/>
      <w:bookmarkStart w:id="561" w:name="Tc_9FEoFaN70UO3TkEPfJrrSA_34_0"/>
      <w:bookmarkStart w:id="562" w:name="Tc_I5e7pD3D5EuZC1OX8Yyy5g_33_0"/>
      <w:bookmarkStart w:id="563" w:name="Tc_dcyReKeKsUidDxdRXMrk7w_32_0"/>
      <w:bookmarkStart w:id="564" w:name="Tc_s3uybDxU5EeziCGHME-zlg_31_0"/>
      <w:bookmarkStart w:id="565" w:name="Tc_Ck5DHYa9YEWZRsH1TV9VKw_30_2"/>
      <w:bookmarkStart w:id="566" w:name="Tc_YzQ5soHKd0CG4iHeaOTByg_30_0"/>
      <w:bookmarkStart w:id="567" w:name="Tc_iJdogyy-1kmo-O3ztd7lMw_29_0"/>
      <w:bookmarkStart w:id="568" w:name="Tc__6tYlrLfA0O5HzamB_zxBA_28_0"/>
      <w:bookmarkStart w:id="569" w:name="Tc_iB4IxzXlck-pO4KoiOl1BA_27_0"/>
      <w:bookmarkStart w:id="570" w:name="Tc_wS0kqqtXGkywFm4ftER1ZA_26_0"/>
      <w:bookmarkStart w:id="571" w:name="Tc_o668pVudfkGBpIU4goTcFg_25_0"/>
      <w:bookmarkStart w:id="572" w:name="Tc_VsPk_Y6h1kmQxDXDxSvYqA_24_0"/>
      <w:bookmarkStart w:id="573" w:name="Tc_XjOfJKnddkmPDlfSFhNrUw_23_0"/>
      <w:bookmarkStart w:id="574" w:name="Tc_E1CBVc0-20KLCblFibUN6g_22_0"/>
      <w:bookmarkStart w:id="575" w:name="Tc_E4ADxNKxrUys9O-BgS90Lg_21_2"/>
      <w:bookmarkStart w:id="576" w:name="Tc_oOVOozP12U65M7mXklzYdA_21_0"/>
      <w:bookmarkStart w:id="577" w:name="Tc_or2BSQNEHE2leJmEbPLqsw_20_0"/>
      <w:bookmarkStart w:id="578" w:name="Tc_2XGtW16hb02CFYZ58BH-iw_19_0"/>
      <w:bookmarkStart w:id="579" w:name="Tc_lj-Sa-Xt_k6UBDfO8_j0ww_18_0"/>
      <w:bookmarkStart w:id="580" w:name="Tc_CL1NNbzgt02revyJVR6erA_17_0"/>
      <w:bookmarkStart w:id="581" w:name="Tc_mZhIR__NxEmsACh8t0lFDQ_16_2"/>
      <w:bookmarkStart w:id="582" w:name="Tc_lcOPXj2O4EK7VLBjcGutgg_16_0"/>
      <w:bookmarkStart w:id="583" w:name="Tc_K75W2DOzLEKi03Yz67iB-Q_15_0"/>
      <w:bookmarkStart w:id="584" w:name="Tc_McRQJ8mhGkOrW_CEckl-Dw_14_2"/>
      <w:bookmarkStart w:id="585" w:name="Tc_IQlJaolAoEyOgTtOjjsagA_14_0"/>
      <w:bookmarkStart w:id="586" w:name="Tc_iENdXEZHtEW_5VxyQre8iw_13_0"/>
      <w:bookmarkStart w:id="587" w:name="Tc_3wmLmt_Z8kGSV87QF4FFTQ_12_0"/>
      <w:bookmarkStart w:id="588" w:name="Tc_ADta_02voEiEzwR9ye_olg_11_0"/>
      <w:bookmarkStart w:id="589" w:name="Tc_VsZdojDnO0eRPTMonrJWwQ_10_0"/>
      <w:bookmarkStart w:id="590" w:name="Tc_XxkGJnkBbkqTkCnz1ci6sA_9_0"/>
      <w:bookmarkStart w:id="591" w:name="Tc_SbdIQazHH06xw0DoWX5emQ_8_0"/>
      <w:bookmarkStart w:id="592" w:name="Tc_uNEdNM_j-kWWNoWHkuBl9Q_7_0"/>
      <w:bookmarkStart w:id="593" w:name="Tc_QopeWfH0Bk-susUCmrbkbA_6_0"/>
      <w:bookmarkStart w:id="594" w:name="Tc_WxAx08twqkKoFks-D9HTLg_5_0"/>
      <w:bookmarkStart w:id="595" w:name="Tc_Cw-pF77RTEOFX1XXYdQCWA_4_4"/>
      <w:bookmarkStart w:id="596" w:name="Tc_ofF90U9ue0KpW7UVXo7dPQ_4_2"/>
      <w:bookmarkStart w:id="597" w:name="Tc_91nWJwaNyEmd18OyCX7IRA_3_4"/>
      <w:bookmarkStart w:id="598" w:name="Tc_AFEbFgNBg0icFDkxy0D9cQ_3_2"/>
      <w:bookmarkStart w:id="599" w:name="Tc_5KpkRr3ZiE2gOzB1qsROyg_2_2"/>
      <w:bookmarkStart w:id="600" w:name="Tc_SJs0lLdvzECieT927LNEew_1_2"/>
      <w:bookmarkStart w:id="601" w:name="_8d7a301d_930c_42e9_ab93_7caa01beeaef"/>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tbl>
      <w:tblPr>
        <w:tblW w:w="10205" w:type="dxa"/>
        <w:jc w:val="left"/>
        <w:tblInd w:w="0" w:type="dxa"/>
        <w:tblLayout w:type="fixed"/>
        <w:tblCellMar>
          <w:top w:w="0" w:type="dxa"/>
          <w:left w:w="0" w:type="dxa"/>
          <w:bottom w:w="0" w:type="dxa"/>
          <w:right w:w="0" w:type="dxa"/>
        </w:tblCellMar>
      </w:tblPr>
      <w:tblGrid>
        <w:gridCol w:w="7402"/>
        <w:gridCol w:w="346"/>
        <w:gridCol w:w="1031"/>
        <w:gridCol w:w="346"/>
        <w:gridCol w:w="1080"/>
      </w:tblGrid>
      <w:tr>
        <w:trPr/>
        <w:tc>
          <w:tcPr>
            <w:tcW w:w="7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00270" cy="175260"/>
                      <wp:effectExtent l="0" t="0" r="0" b="0"/>
                      <wp:wrapNone/>
                      <wp:docPr id="80" name="Frame70"/>
                      <a:graphic xmlns:a="http://schemas.openxmlformats.org/drawingml/2006/main">
                        <a:graphicData uri="http://schemas.microsoft.com/office/word/2010/wordprocessingShape">
                          <wps:wsp>
                            <wps:cNvSpPr txBox="1"/>
                            <wps:spPr>
                              <a:xfrm>
                                <a:off x="0" y="0"/>
                                <a:ext cx="470027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4685" cy="175260"/>
                      <wp:effectExtent l="0" t="0" r="0" b="0"/>
                      <wp:wrapNone/>
                      <wp:docPr id="82" name="Frame72"/>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85800" cy="175260"/>
                      <wp:effectExtent l="0" t="0" r="0" b="0"/>
                      <wp:wrapNone/>
                      <wp:docPr id="84" name="Frame74"/>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7402"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457" w:type="dxa"/>
            <w:gridSpan w:val="3"/>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7402"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457"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7402"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03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center"/>
              <w:rPr/>
            </w:pPr>
            <w:r>
              <w:rPr/>
              <w:t>  ​ ​ ​</w:t>
            </w:r>
          </w:p>
        </w:tc>
        <w:tc>
          <w:tcPr>
            <w:tcW w:w="1080"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402"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3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080"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60"/>
              <w:ind w:left="0" w:right="0" w:hanging="0"/>
              <w:jc w:val="right"/>
              <w:rPr/>
            </w:pPr>
            <w:r>
              <w:rPr/>
              <w:t>​</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(13,477,240)</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(16,378,832)</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60"/>
              <w:ind w:left="0" w:right="0" w:hanging="0"/>
              <w:jc w:val="right"/>
              <w:rPr/>
            </w:pPr>
            <w:r>
              <w:rPr/>
              <w:t>​</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Income related to short-term investments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(244,106)</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(648,632)</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229,569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174,928</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Net loss (gain) on disposal of property, equipment, software and operating lease right-of-use asset</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323</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(3,211)</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2,030,335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2,131,758</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Amortization of right-of use assets and interest of lease liabilities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75,033</w:t>
            </w:r>
          </w:p>
        </w:tc>
        <w:tc>
          <w:tcPr>
            <w:tcW w:w="346" w:type="dxa"/>
            <w:tcBorders/>
            <w:vAlign w:val="center"/>
          </w:tcPr>
          <w:p>
            <w:pPr>
              <w:pStyle w:val="TableContents"/>
              <w:bidi w:val="0"/>
              <w:spacing w:lineRule="auto" w:line="304" w:before="0" w:after="160"/>
              <w:ind w:left="0" w:right="0" w:hanging="0"/>
              <w:jc w:val="lef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84,845</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Foreign exchange loss (gain), net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(1,252,353)</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169,880</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973,556</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60"/>
              <w:ind w:left="0" w:right="0" w:hanging="0"/>
              <w:jc w:val="right"/>
              <w:rPr/>
            </w:pPr>
            <w:r>
              <w:rPr/>
              <w:t>​</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(150,000)</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Prepayments and other current assets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30,452</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(1,350,481)</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Amount due from related parties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5,860</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14,324</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43,946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(34,571)</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(615,550)</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12,654,430</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Contract liabilities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(1,279,913)</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Amount due to related parties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1,260,439</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(10,347,200)</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Accruals and other current liabilities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860,235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(210,090)</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Lease liabilities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(75,072)</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(110,379)</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(1,144)</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(410,198)</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Net cash used in operating activities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(11,129,273)</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(14,719,786)</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60"/>
              <w:ind w:left="0" w:right="0" w:hanging="0"/>
              <w:jc w:val="right"/>
              <w:rPr/>
            </w:pPr>
            <w:r>
              <w:rPr/>
              <w:t>​</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Placement of short-term investments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(40,000,000)</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(65,000,000)</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Withdrawal of short-term investments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40,244,106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65,648,632</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Proceeds from disposal of property, equipment and software</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5,802</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Purchase of property, equipment and software</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(2,495)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(156,225)</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Net cash generated from investing activities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241,611</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498,209</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60"/>
              <w:ind w:left="0" w:right="0" w:hanging="0"/>
              <w:jc w:val="right"/>
              <w:rPr/>
            </w:pPr>
            <w:r>
              <w:rPr/>
              <w:t>​</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Proceeds from borrowings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pPr>
            <w:r>
              <w:rPr/>
              <w:t>—</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Proceeds from exercise of share options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15,485</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253,800</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Proceeds from issuance of the Offering, net of issuance costs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65,547,650</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Proceeds from the ATM Offering, net of issuance costs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2,633,306</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Repayment of borrowings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(11,620,071)</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(583,625)</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Net cash generated from (used in) financing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(11,604,586)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67,851,131</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Effect of exchange rate on cash and cash equivalents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125,902</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(243,496)</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Net decrease (increase) in cash and cash equivalents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(22,366,346)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53,386,058</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 at the beginning of the period</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85,194,502</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74,523,782</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Cash and cash equivalents at the end of the period</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62,828,156</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16"/>
              </w:rPr>
            </w:pPr>
            <w:r>
              <w:rPr>
                <w:rFonts w:ascii="Times New Roman;Times;serif" w:hAnsi="Times New Roman;Times;serif"/>
                <w:b/>
                <w:sz w:val="16"/>
              </w:rPr>
              <w:t>127,909,840</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Supplemental cash flow disclosures: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60"/>
              <w:ind w:left="0" w:right="0" w:hanging="0"/>
              <w:jc w:val="right"/>
              <w:rPr/>
            </w:pPr>
            <w:r>
              <w:rPr/>
              <w:t>​</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291,889</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96,641</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Income tax paid</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1,602</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483,483</w:t>
            </w:r>
          </w:p>
        </w:tc>
      </w:tr>
      <w:tr>
        <w:trPr/>
        <w:tc>
          <w:tcPr>
            <w:tcW w:w="7402"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Cash paid for fixed operating lease costs included in the measurement of lease obligations in operating activities</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3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75,072</w:t>
            </w:r>
          </w:p>
        </w:tc>
        <w:tc>
          <w:tcPr>
            <w:tcW w:w="346" w:type="dxa"/>
            <w:tcBorders/>
            <w:shd w:fill="CCEEFF" w:val="clear"/>
            <w:vAlign w:val="center"/>
          </w:tcPr>
          <w:p>
            <w:pPr>
              <w:pStyle w:val="TableContents"/>
              <w:bidi w:val="0"/>
              <w:spacing w:lineRule="auto" w:line="304" w:before="0" w:after="160"/>
              <w:ind w:left="0" w:right="0" w:hanging="0"/>
              <w:jc w:val="right"/>
              <w:rPr/>
            </w:pPr>
            <w:r>
              <w:rPr/>
              <w:t>​</w:t>
            </w:r>
          </w:p>
        </w:tc>
        <w:tc>
          <w:tcPr>
            <w:tcW w:w="1080"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16"/>
              </w:rPr>
            </w:pPr>
            <w:r>
              <w:rPr>
                <w:rFonts w:ascii="Times New Roman;Times;serif" w:hAnsi="Times New Roman;Times;serif"/>
                <w:sz w:val="16"/>
              </w:rPr>
              <w:t>110,379</w:t>
            </w:r>
          </w:p>
        </w:tc>
      </w:tr>
      <w:tr>
        <w:trPr/>
        <w:tc>
          <w:tcPr>
            <w:tcW w:w="7402" w:type="dxa"/>
            <w:tcBorders/>
            <w:vAlign w:val="center"/>
          </w:tcPr>
          <w:p>
            <w:pPr>
              <w:pStyle w:val="TableContents"/>
              <w:pBdr/>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Right-of-use assets obtained in exchange for operating lease obligations</w:t>
            </w:r>
          </w:p>
        </w:tc>
        <w:tc>
          <w:tcPr>
            <w:tcW w:w="346" w:type="dxa"/>
            <w:tcBorders/>
            <w:vAlign w:val="center"/>
          </w:tcPr>
          <w:p>
            <w:pPr>
              <w:pStyle w:val="TableContents"/>
              <w:bidi w:val="0"/>
              <w:spacing w:lineRule="auto" w:line="304" w:before="0" w:after="160"/>
              <w:ind w:left="0" w:right="0" w:hanging="0"/>
              <w:jc w:val="right"/>
              <w:rPr/>
            </w:pPr>
            <w:r>
              <w:rPr/>
              <w:t>​</w:t>
            </w:r>
          </w:p>
        </w:tc>
        <w:tc>
          <w:tcPr>
            <w:tcW w:w="103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right"/>
              <w:rPr/>
            </w:pPr>
            <w:r>
              <w:rPr/>
              <w:t>​</w:t>
            </w:r>
          </w:p>
        </w:tc>
        <w:tc>
          <w:tcPr>
            <w:tcW w:w="1080" w:type="dxa"/>
            <w:tcBorders/>
            <w:vAlign w:val="center"/>
          </w:tcPr>
          <w:p>
            <w:pPr>
              <w:pStyle w:val="TableContents"/>
              <w:bidi w:val="0"/>
              <w:spacing w:lineRule="auto" w:line="304" w:before="0" w:after="1"/>
              <w:ind w:left="0" w:right="60" w:hanging="0"/>
              <w:jc w:val="right"/>
              <w:rPr>
                <w:rFonts w:ascii="Times New Roman;Times;serif" w:hAnsi="Times New Roman;Times;serif"/>
                <w:sz w:val="16"/>
              </w:rPr>
            </w:pPr>
            <w:r>
              <w:rPr>
                <w:rFonts w:ascii="Times New Roman;Times;serif" w:hAnsi="Times New Roman;Times;serif"/>
                <w:sz w:val="16"/>
              </w:rPr>
              <w:t>318,657</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lineRule="auto" w:line="285" w:before="0" w:after="240"/>
        <w:ind w:left="0" w:right="0" w:firstLine="720"/>
        <w:jc w:val="center"/>
        <w:rPr/>
      </w:pPr>
      <w:r>
        <w:rPr/>
        <w:t>​</w:t>
      </w:r>
    </w:p>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602" w:name="_3c1bfeb5_a9bc_46a9_8d15_64d0050abe2b"/>
      <w:bookmarkEnd w:id="602"/>
      <w:r>
        <w:rPr>
          <w:rFonts w:ascii="Times New Roman;Times;serif" w:hAnsi="Times New Roman;Times;serif"/>
          <w:b/>
          <w:sz w:val="20"/>
        </w:rPr>
        <w:t>ADAGENE INC.</w:t>
      </w:r>
    </w:p>
    <w:p>
      <w:pPr>
        <w:pStyle w:val="TextBody"/>
        <w:bidi w:val="0"/>
        <w:spacing w:lineRule="auto" w:line="285" w:before="0" w:after="240"/>
        <w:ind w:left="0" w:right="0" w:hanging="0"/>
        <w:jc w:val="center"/>
        <w:rPr>
          <w:rFonts w:ascii="Times New Roman;Times;serif" w:hAnsi="Times New Roman;Times;serif"/>
          <w:b/>
          <w:sz w:val="20"/>
        </w:rPr>
      </w:pPr>
      <w:bookmarkStart w:id="603" w:name="NOTESTOTHECONSOLIDATEDFINANCIALSTATEMENT"/>
      <w:bookmarkEnd w:id="603"/>
      <w:r>
        <w:rPr>
          <w:rFonts w:ascii="Times New Roman;Times;serif" w:hAnsi="Times New Roman;Times;serif"/>
          <w:b/>
          <w:sz w:val="20"/>
        </w:rPr>
        <w:t>NOTES TO THE UNAUDITED CONDENSED CONSOLIDATED FINANCIAL STATEMENTS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JUNE 30, 2025 AND 2026</w:t>
      </w:r>
    </w:p>
    <w:p>
      <w:pPr>
        <w:pStyle w:val="TextBody"/>
        <w:bidi w:val="0"/>
        <w:spacing w:lineRule="auto" w:line="285" w:before="0" w:after="240"/>
        <w:ind w:left="0" w:right="0" w:hanging="0"/>
        <w:jc w:val="left"/>
        <w:rPr>
          <w:rFonts w:ascii="Times New Roman;Times;serif" w:hAnsi="Times New Roman;Times;serif"/>
          <w:b/>
          <w:sz w:val="20"/>
        </w:rPr>
      </w:pPr>
      <w:bookmarkStart w:id="604" w:name="Tc_wa0fTgto3kO7jKj5wG2mrg_10_8"/>
      <w:bookmarkStart w:id="605" w:name="Tc_Xlw_7Y-mukqTzDUv0rjs1w_10_7"/>
      <w:bookmarkStart w:id="606" w:name="Tc_y16eEhy-hUmgGDT-zuIcIQ_10_4"/>
      <w:bookmarkStart w:id="607" w:name="Tc_a6vXSBM6cEipPZI-lIaSog_10_2"/>
      <w:bookmarkStart w:id="608" w:name="Tc_fJr44JneIUOcuMFaPm3J9g_10_0"/>
      <w:bookmarkStart w:id="609" w:name="Tc_KT7fhUazn0iBptHkboBCLg_9_8"/>
      <w:bookmarkStart w:id="610" w:name="Tc_JFpgddeSCkSTr7yrBRlVsQ_9_7"/>
      <w:bookmarkStart w:id="611" w:name="Tc_FMKg0quOHUKthwLUuDOmRA_9_4"/>
      <w:bookmarkStart w:id="612" w:name="Tc_2nXLCTkd8kKcWalXcdczSw_9_2"/>
      <w:bookmarkStart w:id="613" w:name="Tc_NoxKS3SNc0-gLs0BCNQhDw_9_0"/>
      <w:bookmarkStart w:id="614" w:name="Tc_sM6c37u0tUy6SAK1XXksJA_8_8"/>
      <w:bookmarkStart w:id="615" w:name="Tc_Q12mOySCc0K4iUOF1Vs6cQ_8_7"/>
      <w:bookmarkStart w:id="616" w:name="Tc_R4oAscZffUuDccWjSs2eZw_8_4"/>
      <w:bookmarkStart w:id="617" w:name="Tc_gR91Xtaa4kaeju2Imj_8sA_8_2"/>
      <w:bookmarkStart w:id="618" w:name="Tc_uzllfGKs-ESZ9jGJEYYufg_8_0"/>
      <w:bookmarkStart w:id="619" w:name="Tc_T0W6MKqsEkCwcgCT2ddMIA_7_8"/>
      <w:bookmarkStart w:id="620" w:name="Tc_GHwaV-ot-E2ZaGCQBabVfQ_7_7"/>
      <w:bookmarkStart w:id="621" w:name="Tc_p4AOaBa4iUKsxNT68s7IFA_7_4"/>
      <w:bookmarkStart w:id="622" w:name="Tc_UJh6qS7IW0GOcVJZuUXqjg_7_2"/>
      <w:bookmarkStart w:id="623" w:name="Tc_Sw5W0VpN1EyzkyJ6A0s8Hw_7_0"/>
      <w:bookmarkStart w:id="624" w:name="Tc_M00Zg2fCqkitwn8duk0p8Q_6_8"/>
      <w:bookmarkStart w:id="625" w:name="Tc_ROPDzeErSkiO65DCdAsW1g_6_7"/>
      <w:bookmarkStart w:id="626" w:name="Tc_MrCxYSjnIUqFxo0ttvRnpQ_6_4"/>
      <w:bookmarkStart w:id="627" w:name="Tc_BVauqoz3-EiczwNIFYyjqA_6_2"/>
      <w:bookmarkStart w:id="628" w:name="Tc_H2XJRfDy_UuhE18qEdeGKw_6_0"/>
      <w:bookmarkStart w:id="629" w:name="Tc_U51w9s2dDkuD01wF5vOtdw_5_8"/>
      <w:bookmarkStart w:id="630" w:name="Tc_m6VQU8mG90idHAfBldDvTg_5_7"/>
      <w:bookmarkStart w:id="631" w:name="Tc_sSUSGFzUikiGq21jdv53eQ_5_4"/>
      <w:bookmarkStart w:id="632" w:name="Tc_-ZwAFpYBy0G46vlwuZAoUw_5_2"/>
      <w:bookmarkStart w:id="633" w:name="Tc_MVZqesXsz0OvXvnjFkadIQ_5_0"/>
      <w:bookmarkStart w:id="634" w:name="Tc_k5GF8rGkXkKI-4qXN9Pc_g_4_8"/>
      <w:bookmarkStart w:id="635" w:name="Tc_Fv1PbHZjy0-smlYXnU1SYw_4_7"/>
      <w:bookmarkStart w:id="636" w:name="Tc_49SXKo7XAkC0k9z1s4asrQ_4_4"/>
      <w:bookmarkStart w:id="637" w:name="Tc_u1OaU2E9FkOLvjtMKLxdGg_4_2"/>
      <w:bookmarkStart w:id="638" w:name="Tc_LYx5LxnwVEa7d0XZVnSWdg_4_0"/>
      <w:bookmarkStart w:id="639" w:name="Tc_sTDRkvxvPk2jTXysLQC7kA_3_8"/>
      <w:bookmarkStart w:id="640" w:name="Tc_SEDWJ6LZcUCQ4PNyME3Dyg_3_6"/>
      <w:bookmarkStart w:id="641" w:name="Tc_aqXKXeNyykKsjHWJNKibHw_3_4"/>
      <w:bookmarkStart w:id="642" w:name="Tc_DRIuBEwkBU2dLEpbA4q5xw_3_2"/>
      <w:bookmarkStart w:id="643" w:name="Tc_DBr6mjbsokGrDRqfuKygTw_3_0"/>
      <w:bookmarkStart w:id="644" w:name="Tc_1geLohgeOkOgktAokIlODg_2_6"/>
      <w:bookmarkStart w:id="645" w:name="Tc_IPGQiHeukEm23VRdkGW-8A_2_4"/>
      <w:bookmarkStart w:id="646" w:name="Tc_vy9W94lYgUuT102arrRPNQ_2_2"/>
      <w:bookmarkStart w:id="647" w:name="Tc_AOFwUkUQiU2cnLXGsWfiGg_1_6"/>
      <w:bookmarkStart w:id="648" w:name="_4f9c07de_574d_4e00_870d_46ed405871ba"/>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r>
        <w:rPr>
          <w:rFonts w:ascii="Times New Roman;Times;serif" w:hAnsi="Times New Roman;Times;serif"/>
          <w:b/>
          <w:sz w:val="20"/>
        </w:rPr>
        <w:t>1. ORGANIZATION AND 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Adagene Inc. (the “Company”) is a limited liability company incorporated in the Cayman Islands on February 25, 2011. The Company, together with its subsidiaries (collectively, the “Group”), are principally engaged in research, development and production of monoclonal antibody drugs for cancers. The shares of the Company’s American Depositary Shares (“ADSs”) are traded on the NASDAQ Global Market, and each ADS represents one and one quarter (1.25) ordinary shares of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Company’s principal subsidiaries were as follows:</w:t>
      </w:r>
    </w:p>
    <w:tbl>
      <w:tblPr>
        <w:tblW w:w="10205" w:type="dxa"/>
        <w:jc w:val="left"/>
        <w:tblInd w:w="0" w:type="dxa"/>
        <w:tblLayout w:type="fixed"/>
        <w:tblCellMar>
          <w:top w:w="0" w:type="dxa"/>
          <w:left w:w="0" w:type="dxa"/>
          <w:bottom w:w="0" w:type="dxa"/>
          <w:right w:w="0" w:type="dxa"/>
        </w:tblCellMar>
      </w:tblPr>
      <w:tblGrid>
        <w:gridCol w:w="1425"/>
        <w:gridCol w:w="346"/>
        <w:gridCol w:w="1237"/>
        <w:gridCol w:w="346"/>
        <w:gridCol w:w="1928"/>
        <w:gridCol w:w="346"/>
        <w:gridCol w:w="1501"/>
        <w:gridCol w:w="346"/>
        <w:gridCol w:w="2730"/>
      </w:tblGrid>
      <w:tr>
        <w:trPr/>
        <w:tc>
          <w:tcPr>
            <w:tcW w:w="1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04875" cy="175260"/>
                      <wp:effectExtent l="0" t="0" r="0" b="0"/>
                      <wp:wrapNone/>
                      <wp:docPr id="85" name="Frame75"/>
                      <a:graphic xmlns:a="http://schemas.openxmlformats.org/drawingml/2006/main">
                        <a:graphicData uri="http://schemas.microsoft.com/office/word/2010/wordprocessingShape">
                          <wps:wsp>
                            <wps:cNvSpPr txBox="1"/>
                            <wps:spPr>
                              <a:xfrm>
                                <a:off x="0" y="0"/>
                                <a:ext cx="90487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85495" cy="175260"/>
                      <wp:effectExtent l="0" t="0" r="0" b="0"/>
                      <wp:wrapNone/>
                      <wp:docPr id="87" name="Frame77"/>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24280" cy="175260"/>
                      <wp:effectExtent l="0" t="0" r="0" b="0"/>
                      <wp:wrapNone/>
                      <wp:docPr id="89" name="Frame79"/>
                      <a:graphic xmlns:a="http://schemas.openxmlformats.org/drawingml/2006/main">
                        <a:graphicData uri="http://schemas.microsoft.com/office/word/2010/wordprocessingShape">
                          <wps:wsp>
                            <wps:cNvSpPr txBox="1"/>
                            <wps:spPr>
                              <a:xfrm>
                                <a:off x="0" y="0"/>
                                <a:ext cx="122428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953135" cy="175260"/>
                      <wp:effectExtent l="0" t="0" r="0" b="0"/>
                      <wp:wrapNone/>
                      <wp:docPr id="91" name="Frame8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2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33550" cy="175260"/>
                      <wp:effectExtent l="0" t="0" r="0" b="0"/>
                      <wp:wrapNone/>
                      <wp:docPr id="93" name="Frame83"/>
                      <a:graphic xmlns:a="http://schemas.openxmlformats.org/drawingml/2006/main">
                        <a:graphicData uri="http://schemas.microsoft.com/office/word/2010/wordprocessingShape">
                          <wps:wsp>
                            <wps:cNvSpPr txBox="1"/>
                            <wps:spPr>
                              <a:xfrm>
                                <a:off x="0" y="0"/>
                                <a:ext cx="173355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1425"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237"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928"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5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Percentage of legal</w:t>
            </w:r>
          </w:p>
        </w:tc>
        <w:tc>
          <w:tcPr>
            <w:tcW w:w="346" w:type="dxa"/>
            <w:tcBorders/>
            <w:vAlign w:val="center"/>
          </w:tcPr>
          <w:p>
            <w:pPr>
              <w:pStyle w:val="TableContents"/>
              <w:bidi w:val="0"/>
              <w:spacing w:lineRule="auto" w:line="304" w:before="0" w:after="160"/>
              <w:ind w:left="0" w:right="0" w:hanging="0"/>
              <w:jc w:val="left"/>
              <w:rPr/>
            </w:pPr>
            <w:r>
              <w:rPr/>
              <w:t>​</w:t>
            </w:r>
          </w:p>
        </w:tc>
        <w:tc>
          <w:tcPr>
            <w:tcW w:w="2730" w:type="dxa"/>
            <w:tcBorders/>
            <w:vAlign w:val="center"/>
          </w:tcPr>
          <w:p>
            <w:pPr>
              <w:pStyle w:val="TableContents"/>
              <w:bidi w:val="0"/>
              <w:spacing w:lineRule="auto" w:line="304" w:before="0" w:after="160"/>
              <w:ind w:left="0" w:right="0" w:hanging="0"/>
              <w:jc w:val="center"/>
              <w:rPr/>
            </w:pPr>
            <w:r>
              <w:rPr/>
              <w:t>​</w:t>
            </w:r>
          </w:p>
        </w:tc>
      </w:tr>
      <w:tr>
        <w:trPr/>
        <w:tc>
          <w:tcPr>
            <w:tcW w:w="142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237"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lineRule="auto" w:line="304" w:before="0" w:after="160"/>
              <w:ind w:left="0" w:right="0" w:hanging="0"/>
              <w:jc w:val="center"/>
              <w:rPr/>
            </w:pPr>
            <w:r>
              <w:rPr/>
              <w:t>​</w:t>
            </w:r>
          </w:p>
        </w:tc>
        <w:tc>
          <w:tcPr>
            <w:tcW w:w="1928"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46" w:type="dxa"/>
            <w:tcBorders/>
            <w:vAlign w:val="center"/>
          </w:tcPr>
          <w:p>
            <w:pPr>
              <w:pStyle w:val="TableContents"/>
              <w:bidi w:val="0"/>
              <w:spacing w:lineRule="auto" w:line="304" w:before="0" w:after="160"/>
              <w:ind w:left="0" w:right="0" w:hanging="0"/>
              <w:jc w:val="center"/>
              <w:rPr/>
            </w:pPr>
            <w:r>
              <w:rPr/>
              <w:t>​</w:t>
            </w:r>
          </w:p>
        </w:tc>
        <w:tc>
          <w:tcPr>
            <w:tcW w:w="15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lineRule="auto" w:line="304" w:before="0" w:after="160"/>
              <w:ind w:left="0" w:right="0" w:hanging="0"/>
              <w:jc w:val="left"/>
              <w:rPr/>
            </w:pPr>
            <w:r>
              <w:rPr/>
              <w:t>​</w:t>
            </w:r>
          </w:p>
        </w:tc>
        <w:tc>
          <w:tcPr>
            <w:tcW w:w="2730" w:type="dxa"/>
            <w:tcBorders/>
            <w:vAlign w:val="center"/>
          </w:tcPr>
          <w:p>
            <w:pPr>
              <w:pStyle w:val="TableContents"/>
              <w:bidi w:val="0"/>
              <w:spacing w:lineRule="auto" w:line="304" w:before="0" w:after="160"/>
              <w:ind w:left="0" w:right="0" w:hanging="0"/>
              <w:jc w:val="center"/>
              <w:rPr/>
            </w:pPr>
            <w:r>
              <w:rPr/>
              <w:t>​</w:t>
            </w:r>
          </w:p>
        </w:tc>
      </w:tr>
      <w:tr>
        <w:trPr/>
        <w:tc>
          <w:tcPr>
            <w:tcW w:w="1425" w:type="dxa"/>
            <w:tcBorders>
              <w:bottom w:val="single" w:sz="2" w:space="0" w:color="000000"/>
            </w:tcBorders>
            <w:tcMar>
              <w:bottom w:w="28" w:type="dxa"/>
            </w:tcMar>
            <w:vAlign w:val="center"/>
          </w:tcPr>
          <w:p>
            <w:pPr>
              <w:pStyle w:val="TableContents"/>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Entity</w:t>
            </w:r>
          </w:p>
        </w:tc>
        <w:tc>
          <w:tcPr>
            <w:tcW w:w="346" w:type="dxa"/>
            <w:tcBorders/>
            <w:vAlign w:val="center"/>
          </w:tcPr>
          <w:p>
            <w:pPr>
              <w:pStyle w:val="TableContents"/>
              <w:bidi w:val="0"/>
              <w:spacing w:lineRule="auto" w:line="304" w:before="0" w:after="1"/>
              <w:ind w:left="0" w:right="0" w:hanging="0"/>
              <w:jc w:val="left"/>
              <w:rPr/>
            </w:pPr>
            <w:r>
              <w:rPr/>
              <w:t>  ​ ​ ​</w:t>
            </w:r>
          </w:p>
        </w:tc>
        <w:tc>
          <w:tcPr>
            <w:tcW w:w="123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lineRule="auto" w:line="304" w:before="0" w:after="1"/>
              <w:ind w:left="0" w:right="0" w:hanging="0"/>
              <w:jc w:val="center"/>
              <w:rPr/>
            </w:pPr>
            <w:r>
              <w:rPr/>
              <w:t>  ​ ​ ​</w:t>
            </w:r>
          </w:p>
        </w:tc>
        <w:tc>
          <w:tcPr>
            <w:tcW w:w="1928"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lineRule="auto" w:line="304" w:before="0" w:after="1"/>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by the Company</w:t>
            </w:r>
          </w:p>
        </w:tc>
        <w:tc>
          <w:tcPr>
            <w:tcW w:w="346" w:type="dxa"/>
            <w:tcBorders/>
            <w:vAlign w:val="center"/>
          </w:tcPr>
          <w:p>
            <w:pPr>
              <w:pStyle w:val="TableContents"/>
              <w:bidi w:val="0"/>
              <w:spacing w:lineRule="auto" w:line="304" w:before="0" w:after="1"/>
              <w:ind w:left="0" w:right="0" w:hanging="0"/>
              <w:jc w:val="left"/>
              <w:rPr/>
            </w:pPr>
            <w:r>
              <w:rPr/>
              <w:t>  ​ ​ ​</w:t>
            </w:r>
          </w:p>
        </w:tc>
        <w:tc>
          <w:tcPr>
            <w:tcW w:w="2730"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142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(Hong Kong) Limited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237"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December 12, 2011</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928"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Hong Kong</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50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Investment holding, and research and development of innovative medicines</w:t>
            </w:r>
          </w:p>
        </w:tc>
      </w:tr>
      <w:tr>
        <w:trPr/>
        <w:tc>
          <w:tcPr>
            <w:tcW w:w="1425"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Incorporated</w:t>
            </w:r>
          </w:p>
        </w:tc>
        <w:tc>
          <w:tcPr>
            <w:tcW w:w="346" w:type="dxa"/>
            <w:tcBorders/>
            <w:vAlign w:val="center"/>
          </w:tcPr>
          <w:p>
            <w:pPr>
              <w:pStyle w:val="TableContents"/>
              <w:bidi w:val="0"/>
              <w:spacing w:lineRule="auto" w:line="304" w:before="0" w:after="160"/>
              <w:ind w:left="0" w:right="0" w:hanging="0"/>
              <w:jc w:val="left"/>
              <w:rPr/>
            </w:pPr>
            <w:r>
              <w:rPr/>
              <w:t>​</w:t>
            </w:r>
          </w:p>
        </w:tc>
        <w:tc>
          <w:tcPr>
            <w:tcW w:w="1237"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September 20, 2017</w:t>
            </w:r>
          </w:p>
        </w:tc>
        <w:tc>
          <w:tcPr>
            <w:tcW w:w="346" w:type="dxa"/>
            <w:tcBorders/>
            <w:vAlign w:val="center"/>
          </w:tcPr>
          <w:p>
            <w:pPr>
              <w:pStyle w:val="TableContents"/>
              <w:bidi w:val="0"/>
              <w:spacing w:lineRule="auto" w:line="304" w:before="0" w:after="1"/>
              <w:ind w:left="0" w:right="0" w:hanging="0"/>
              <w:jc w:val="center"/>
              <w:rPr/>
            </w:pPr>
            <w:r>
              <w:rPr/>
              <w:t> </w:t>
            </w:r>
          </w:p>
        </w:tc>
        <w:tc>
          <w:tcPr>
            <w:tcW w:w="1928"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The United States of America</w:t>
            </w:r>
          </w:p>
        </w:tc>
        <w:tc>
          <w:tcPr>
            <w:tcW w:w="346" w:type="dxa"/>
            <w:tcBorders/>
            <w:vAlign w:val="center"/>
          </w:tcPr>
          <w:p>
            <w:pPr>
              <w:pStyle w:val="TableContents"/>
              <w:bidi w:val="0"/>
              <w:spacing w:lineRule="auto" w:line="304" w:before="0" w:after="1"/>
              <w:ind w:left="0" w:right="0" w:hanging="0"/>
              <w:jc w:val="center"/>
              <w:rPr/>
            </w:pPr>
            <w:r>
              <w:rPr/>
              <w:t> </w:t>
            </w:r>
          </w:p>
        </w:tc>
        <w:tc>
          <w:tcPr>
            <w:tcW w:w="1501"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r>
        <w:trPr/>
        <w:tc>
          <w:tcPr>
            <w:tcW w:w="142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(Suzhou) Limited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237"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February 28, 2012</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928"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The People’s Republic of China (“PRC” or “China”)</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50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r>
        <w:trPr/>
        <w:tc>
          <w:tcPr>
            <w:tcW w:w="1425"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Australia PTY Ltd.</w:t>
            </w:r>
          </w:p>
        </w:tc>
        <w:tc>
          <w:tcPr>
            <w:tcW w:w="346" w:type="dxa"/>
            <w:tcBorders/>
            <w:vAlign w:val="center"/>
          </w:tcPr>
          <w:p>
            <w:pPr>
              <w:pStyle w:val="TableContents"/>
              <w:bidi w:val="0"/>
              <w:spacing w:lineRule="auto" w:line="304" w:before="0" w:after="160"/>
              <w:ind w:left="0" w:right="0" w:hanging="0"/>
              <w:jc w:val="left"/>
              <w:rPr/>
            </w:pPr>
            <w:r>
              <w:rPr/>
              <w:t>​</w:t>
            </w:r>
          </w:p>
        </w:tc>
        <w:tc>
          <w:tcPr>
            <w:tcW w:w="1237"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May 30, 2018</w:t>
            </w:r>
          </w:p>
        </w:tc>
        <w:tc>
          <w:tcPr>
            <w:tcW w:w="346" w:type="dxa"/>
            <w:tcBorders/>
            <w:vAlign w:val="center"/>
          </w:tcPr>
          <w:p>
            <w:pPr>
              <w:pStyle w:val="TableContents"/>
              <w:bidi w:val="0"/>
              <w:spacing w:lineRule="auto" w:line="304" w:before="0" w:after="160"/>
              <w:ind w:left="0" w:right="0" w:hanging="0"/>
              <w:jc w:val="center"/>
              <w:rPr/>
            </w:pPr>
            <w:r>
              <w:rPr/>
              <w:t>​</w:t>
            </w:r>
          </w:p>
        </w:tc>
        <w:tc>
          <w:tcPr>
            <w:tcW w:w="1928"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Australia</w:t>
            </w:r>
          </w:p>
        </w:tc>
        <w:tc>
          <w:tcPr>
            <w:tcW w:w="346" w:type="dxa"/>
            <w:tcBorders/>
            <w:vAlign w:val="center"/>
          </w:tcPr>
          <w:p>
            <w:pPr>
              <w:pStyle w:val="TableContents"/>
              <w:bidi w:val="0"/>
              <w:spacing w:lineRule="auto" w:line="304" w:before="0" w:after="160"/>
              <w:ind w:left="0" w:right="0" w:hanging="0"/>
              <w:jc w:val="center"/>
              <w:rPr/>
            </w:pPr>
            <w:r>
              <w:rPr/>
              <w:t>​</w:t>
            </w:r>
          </w:p>
        </w:tc>
        <w:tc>
          <w:tcPr>
            <w:tcW w:w="1501"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r>
        <w:trPr/>
        <w:tc>
          <w:tcPr>
            <w:tcW w:w="142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PTE. Ltd.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237"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March 27, 2020</w:t>
            </w:r>
          </w:p>
        </w:tc>
        <w:tc>
          <w:tcPr>
            <w:tcW w:w="346" w:type="dxa"/>
            <w:tcBorders/>
            <w:shd w:fill="CCEEFF" w:val="clear"/>
            <w:vAlign w:val="center"/>
          </w:tcPr>
          <w:p>
            <w:pPr>
              <w:pStyle w:val="TableContents"/>
              <w:bidi w:val="0"/>
              <w:spacing w:lineRule="auto" w:line="304" w:before="0" w:after="160"/>
              <w:ind w:left="0" w:right="0" w:hanging="0"/>
              <w:jc w:val="center"/>
              <w:rPr/>
            </w:pPr>
            <w:r>
              <w:rPr/>
              <w:t>​</w:t>
            </w:r>
          </w:p>
        </w:tc>
        <w:tc>
          <w:tcPr>
            <w:tcW w:w="1928"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Singapore</w:t>
            </w:r>
          </w:p>
        </w:tc>
        <w:tc>
          <w:tcPr>
            <w:tcW w:w="346" w:type="dxa"/>
            <w:tcBorders/>
            <w:shd w:fill="CCEEFF" w:val="clear"/>
            <w:vAlign w:val="center"/>
          </w:tcPr>
          <w:p>
            <w:pPr>
              <w:pStyle w:val="TableContents"/>
              <w:bidi w:val="0"/>
              <w:spacing w:lineRule="auto" w:line="304" w:before="0" w:after="160"/>
              <w:ind w:left="0" w:right="0" w:hanging="0"/>
              <w:jc w:val="center"/>
              <w:rPr/>
            </w:pPr>
            <w:r>
              <w:rPr/>
              <w:t>​</w:t>
            </w:r>
          </w:p>
        </w:tc>
        <w:tc>
          <w:tcPr>
            <w:tcW w:w="150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r>
        <w:trPr/>
        <w:tc>
          <w:tcPr>
            <w:tcW w:w="1425"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AG</w:t>
            </w:r>
          </w:p>
        </w:tc>
        <w:tc>
          <w:tcPr>
            <w:tcW w:w="346" w:type="dxa"/>
            <w:tcBorders/>
            <w:vAlign w:val="center"/>
          </w:tcPr>
          <w:p>
            <w:pPr>
              <w:pStyle w:val="TableContents"/>
              <w:bidi w:val="0"/>
              <w:spacing w:lineRule="auto" w:line="304" w:before="0" w:after="160"/>
              <w:ind w:left="0" w:right="0" w:hanging="0"/>
              <w:jc w:val="left"/>
              <w:rPr/>
            </w:pPr>
            <w:r>
              <w:rPr/>
              <w:t>​</w:t>
            </w:r>
          </w:p>
        </w:tc>
        <w:tc>
          <w:tcPr>
            <w:tcW w:w="1237"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August 31, 2020</w:t>
            </w:r>
          </w:p>
        </w:tc>
        <w:tc>
          <w:tcPr>
            <w:tcW w:w="346" w:type="dxa"/>
            <w:tcBorders/>
            <w:vAlign w:val="center"/>
          </w:tcPr>
          <w:p>
            <w:pPr>
              <w:pStyle w:val="TableContents"/>
              <w:bidi w:val="0"/>
              <w:spacing w:lineRule="auto" w:line="304" w:before="0" w:after="1"/>
              <w:ind w:left="0" w:right="0" w:hanging="0"/>
              <w:jc w:val="center"/>
              <w:rPr/>
            </w:pPr>
            <w:r>
              <w:rPr/>
              <w:t> </w:t>
            </w:r>
          </w:p>
        </w:tc>
        <w:tc>
          <w:tcPr>
            <w:tcW w:w="1928"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Switzerland</w:t>
            </w:r>
          </w:p>
        </w:tc>
        <w:tc>
          <w:tcPr>
            <w:tcW w:w="346" w:type="dxa"/>
            <w:tcBorders/>
            <w:vAlign w:val="center"/>
          </w:tcPr>
          <w:p>
            <w:pPr>
              <w:pStyle w:val="TableContents"/>
              <w:bidi w:val="0"/>
              <w:spacing w:lineRule="auto" w:line="304" w:before="0" w:after="1"/>
              <w:ind w:left="0" w:right="0" w:hanging="0"/>
              <w:jc w:val="center"/>
              <w:rPr/>
            </w:pPr>
            <w:r>
              <w:rPr/>
              <w:t> </w:t>
            </w:r>
          </w:p>
        </w:tc>
        <w:tc>
          <w:tcPr>
            <w:tcW w:w="1501"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r>
        <w:trPr/>
        <w:tc>
          <w:tcPr>
            <w:tcW w:w="142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Adagene Project C1 PTE. Ltd.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237"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March 25, 2022</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928"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Singapore</w:t>
            </w:r>
          </w:p>
        </w:tc>
        <w:tc>
          <w:tcPr>
            <w:tcW w:w="346" w:type="dxa"/>
            <w:tcBorders/>
            <w:shd w:fill="CCEEFF" w:val="clear"/>
            <w:vAlign w:val="center"/>
          </w:tcPr>
          <w:p>
            <w:pPr>
              <w:pStyle w:val="TableContents"/>
              <w:bidi w:val="0"/>
              <w:spacing w:lineRule="auto" w:line="304" w:before="0" w:after="1"/>
              <w:ind w:left="0" w:right="0" w:hanging="0"/>
              <w:jc w:val="center"/>
              <w:rPr/>
            </w:pPr>
            <w:r>
              <w:rPr/>
              <w:t> </w:t>
            </w:r>
          </w:p>
        </w:tc>
        <w:tc>
          <w:tcPr>
            <w:tcW w:w="150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100</w:t>
            </w:r>
          </w:p>
        </w:tc>
        <w:tc>
          <w:tcPr>
            <w:tcW w:w="3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2730"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sz w:val="16"/>
              </w:rPr>
              <w:t>Research and development of innovative medicines</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interim unaudited condensed consolidated financial statements have been prepared in conformity with generally accepted accounting principles in the United States of America (“U.S. GAAP”) for interim financial information. Accordingly, they do not include all of the information and footnotes required by U.S. GAAP for complete financial statements. The interim unaudited condensed consolidated financial statements have been prepared on the same basis as the annual audited consolidated financial statements. In the opinion of management, all adjustments, consisting of normal recurring adjustments necessary for the fair statement of results for the periods presented, have been included. The results of operations of any interim period are not necessarily indicative of the results of operations for the full year or any other interim period.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comparative year-end condensed balance sheet data was derived from the annual audited consolidated financial statements but is condensed to the same degree as the interim condensed balance sheet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interim unaudited condensed consolidated financial statements and related disclosures have been prepared with the presumption that users have read or have access to the annual audited consolidated financial statements filed on April 1,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Principal accounting policies followed by the Company in the preparation of the accompanying condensed consolidated financial statements are summarized below. References to specific U.S. GAAP principles throughout these notes to the accompanying financial statements are to the Accounting Standards Codification (“ASC”), as published by the U.S. Financial Accounting Standards Board (“FASB”).</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condensed consolidated financial statements of the Group include the financial statements of the Company and its subsidiaries. All significant intercompany balances and transactions have been eliminated upon consolidation.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U.S. GAAP requires management to make estimates and assumptions that affect the reported amounts of assets and liabilities, disclosures of contingent assets and liabilities at the balance sheet dates and the reported amounts of expenses during the reporting periods. Significant estimates and assumptions reflected in the Group’s condensed consolidated financial statements include, but are not limited to, licensing and collaboration revenue recognition, research and development expense allocation, the useful lives and impairment of long-lived assets, tax valuation allowance, share-based compensation expenses, measurement of right-of-use assets and lease liabilities, and the fair value of warrant liabilities. Management bases the estimates on historical experience and various other assumptions that are believed to be reasonable, the results of which form the basis for making judgments about the carrying values of assets and liabilities. Actual results could materially differ from those estimates.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functional currency of the Company, Adagene (Hong Kong) Limited, Adagene Incorporated, Adagene PTE. Ltd. and Adagene Project C1 PTE. Ltd. is the United States dollar (“US$”). The functional currency of the Company’s PRC subsidiary is Renminbi (“RMB”). The functional currency of the Company’s Australian subsidiary is Australian dollar (“AU$”). The functional currency of the Company’s Swiss subsidiary is Swiss Franc (“CHF”). The determination of the respective functional currency is based on the criteria stated in ASC 830, </w:t>
      </w:r>
      <w:r>
        <w:rPr>
          <w:rFonts w:ascii="Times New Roman;Times;serif" w:hAnsi="Times New Roman;Times;serif"/>
          <w:i/>
          <w:sz w:val="20"/>
        </w:rPr>
        <w:t>Foreign Currency Matters</w:t>
      </w:r>
      <w:r>
        <w:rPr>
          <w:rFonts w:ascii="Times New Roman;Times;serif" w:hAnsi="Times New Roman;Times;serif"/>
          <w:sz w:val="20"/>
        </w:rPr>
        <w:t>. The Company uses US$ as its reporting currency. The financial statements of the Company’s PRC, Australian and Swiss subsidiaries are translated from the functional currency to the reporting currency.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Transactions denominated in foreign currencies are remeasured into the functional currency at the exchange rates quoted by the People’s Bank of China (the “PBOC”)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condensed consolidated statements of comprehensive 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Assets and liabilities are translated at the exchange rates at the balance sheet date, equity accounts are translated at historical exchange rates and revenues, expenses, gains and losses are translated using the average rate for the reporting period. Translation adjustments are reported as accumulated comprehensive loss and are shown as a separate component of other comprehensive loss in the condensed consolidated statements of comprehensive loss.</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lineRule="auto" w:line="285" w:before="0" w:after="200"/>
        <w:ind w:left="0" w:right="0" w:firstLine="720"/>
        <w:jc w:val="left"/>
        <w:rPr>
          <w:rFonts w:ascii="Times New Roman;Times;serif" w:hAnsi="Times New Roman;Times;serif"/>
          <w:sz w:val="20"/>
        </w:rPr>
      </w:pPr>
      <w:r>
        <w:rPr>
          <w:rFonts w:ascii="Times New Roman;Times;serif" w:hAnsi="Times New Roman;Times;serif"/>
          <w:sz w:val="20"/>
        </w:rPr>
        <w:t>Cash and cash equivalents primarily consist of cash and demand deposits which are highly liquid. The Group considers highly liquid investments that are readily convertible to known amounts of cash and with original maturities from the date of purchase of three months or less to be cash equivalents. All cash and cash equivalents are unrestricted as to withdrawal and use.</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Short-term investments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Short-term investments consist primarily of investments in money market funds, which are measured at fair value and are expected to be redeemed within one year. As of June 30, 2026 and December 31, 2025, there were no short-term investments held by the Group.</w:t>
      </w:r>
    </w:p>
    <w:p>
      <w:pPr>
        <w:pStyle w:val="TextBody"/>
        <w:bidi w:val="0"/>
        <w:spacing w:lineRule="auto" w:line="285" w:before="0" w:after="200"/>
        <w:ind w:left="0" w:right="0" w:hanging="0"/>
        <w:jc w:val="left"/>
        <w:rPr>
          <w:rFonts w:ascii="Times New Roman;Times;serif" w:hAnsi="Times New Roman;Times;serif"/>
          <w:b/>
          <w:i/>
          <w:sz w:val="20"/>
        </w:rPr>
      </w:pPr>
      <w:r>
        <w:rPr>
          <w:rFonts w:ascii="Times New Roman;Times;serif" w:hAnsi="Times New Roman;Times;serif"/>
          <w:b/>
          <w:i/>
          <w:sz w:val="20"/>
        </w:rPr>
        <w:t>Accounts receivable and allowance for doubtful accounts</w:t>
      </w:r>
    </w:p>
    <w:p>
      <w:pPr>
        <w:pStyle w:val="TextBody"/>
        <w:bidi w:val="0"/>
        <w:spacing w:lineRule="auto" w:line="285"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receivable is recorded when the Group has an unconditional right to consideration. A right to consideration is unconditional if only the passage of time is required before payment of that consideration is due. Accounts receivable is carried at net realizable value.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00"/>
        <w:ind w:left="0" w:right="0" w:hanging="0"/>
        <w:jc w:val="left"/>
        <w:rPr>
          <w:rFonts w:ascii="Times New Roman;Times;serif" w:hAnsi="Times New Roman;Times;serif"/>
          <w:b/>
          <w:i/>
          <w:sz w:val="20"/>
        </w:rPr>
      </w:pPr>
      <w:bookmarkStart w:id="649" w:name="Tc_6f9XRdDUBEyUrohgtIBaUw_7_2"/>
      <w:bookmarkStart w:id="650" w:name="Tc_0qr2Cw5XE0i5uH5pXwdQnA_6_2"/>
      <w:bookmarkStart w:id="651" w:name="Tc_3bJRcCaCT0C1fV6vVbZsTg_6_0"/>
      <w:bookmarkStart w:id="652" w:name="Tc_gRDEhHYXpUSTs5KvJhWcuQ_5_0"/>
      <w:bookmarkStart w:id="653" w:name="Tc_6NDNYGvCWEmkTyoyWR882w_4_2"/>
      <w:bookmarkStart w:id="654" w:name="Tc_vNQg5WGSUU6ylphjlhXrcA_4_0"/>
      <w:bookmarkStart w:id="655" w:name="Tc_olJYBHCu2Eexclu_epBFwA_3_0"/>
      <w:bookmarkStart w:id="656" w:name="Tc_52mHR6_uE0q_nKCkRdMp_g_2_0"/>
      <w:bookmarkStart w:id="657" w:name="Tc_02zyhIs9MkGfbUt0yiHP-Q_1_2"/>
      <w:bookmarkStart w:id="658" w:name="Tc_RGckhgXVmk6yhqh4yfCGbg_1_0"/>
      <w:bookmarkStart w:id="659" w:name="Tc_Tw3pHTnek0WHIVxMybshBQ_7_0"/>
      <w:bookmarkStart w:id="660" w:name="Tc_JvFzQ7sma0CyjLTyBj0VHw_6_0"/>
      <w:bookmarkStart w:id="661" w:name="Tc_5h2UsqbgfkCZHGTqkpIt_w_5_0"/>
      <w:bookmarkStart w:id="662" w:name="Tc_b2sX_Vu37U2UA7ILmceimw_4_0"/>
      <w:bookmarkStart w:id="663" w:name="Tc_mp_rSL74f06uaIEKG8_w6A_3_0"/>
      <w:bookmarkStart w:id="664" w:name="Tc_fXhxhvs-UEulIrpBhdjJcA_2_2"/>
      <w:bookmarkStart w:id="665" w:name="Tc_yVv9MNiIIUqph7qNaznxJg_1_2"/>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r>
        <w:rPr>
          <w:rFonts w:ascii="Times New Roman;Times;serif" w:hAnsi="Times New Roman;Times;serif"/>
          <w:b/>
          <w:i/>
          <w:sz w:val="20"/>
        </w:rPr>
        <w:t>Fair value measurements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applies ASC 820, </w:t>
      </w:r>
      <w:r>
        <w:rPr>
          <w:rFonts w:ascii="Times New Roman;Times;serif" w:hAnsi="Times New Roman;Times;serif"/>
          <w:i/>
          <w:sz w:val="20"/>
        </w:rPr>
        <w:t>Fair Value Measurements and Disclosures</w:t>
      </w:r>
      <w:r>
        <w:rPr>
          <w:rFonts w:ascii="Times New Roman;Times;serif" w:hAnsi="Times New Roman;Times;serif"/>
          <w:sz w:val="20"/>
        </w:rPr>
        <w:t>. ASC 820 defines fair value, establishes a framework for measuring fair value and expands disclosures about fair value measurements. ASC 820 requires disclosures to be provided for fair value measurements. ASC 820 establishes a three-tier fair value hierarchy, which prioritizes the inputs used in measuring fair value as follows:</w:t>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Level 1—Observable inputs that reflect quoted prices (unadjusted) for identical assets or liabilities in active markets.</w:t>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Level 2—Other inputs that are directly or indirectly observable in the marketplace.</w:t>
      </w:r>
    </w:p>
    <w:p>
      <w:pPr>
        <w:pStyle w:val="TextBody"/>
        <w:bidi w:val="0"/>
        <w:spacing w:lineRule="auto" w:line="285" w:before="0" w:after="240"/>
        <w:ind w:left="720" w:right="0" w:hanging="0"/>
        <w:jc w:val="left"/>
        <w:rPr>
          <w:rFonts w:ascii="Times New Roman;Times;serif" w:hAnsi="Times New Roman;Times;serif"/>
          <w:sz w:val="20"/>
        </w:rPr>
      </w:pPr>
      <w:r>
        <w:rPr>
          <w:rFonts w:ascii="Times New Roman;Times;serif" w:hAnsi="Times New Roman;Times;serif"/>
          <w:sz w:val="20"/>
        </w:rPr>
        <w:t>Level 3—Unobservable inputs which are supported by little or no market activity.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carrying amounts of cash and cash equivalent, accounts receivable, amounts due to related parties and other current assets, accounts payable, amounts due to related parties, accrued liabilities and other current liabilities, and short - term borrowings approximate their fair values because of their generally short maturities. The carrying amount of long - term borrowings approximates their fair values since they bear interest rates which approximate market interest rates.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more fully described in Note 11, the Group issued warrants to purchase its ordinary shares during the year ended December 31, 2025. The Group measured its warrant liabilities at fair value on a recurring basis. As the Group’s warrants are not traded in an active market with readily observable prices, the Group uses significant unobservable inputs to measure the fair value of warrant liabilities. Refer to Note 11 for a detailed description of the unobservable inputs used. The warrant liabilities are categorized in the Level 3 valuation hierarchy based on the significance of unobservable factors in the overall fair value measurement.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a reconciliation of all financial instruments measured at fair value on a recurring basis using Level 3 unobservable inputs:</w:t>
      </w:r>
    </w:p>
    <w:p>
      <w:pPr>
        <w:pStyle w:val="TextBody"/>
        <w:bidi w:val="0"/>
        <w:spacing w:lineRule="auto" w:line="304" w:before="0" w:after="160"/>
        <w:ind w:left="0" w:right="0" w:hanging="0"/>
        <w:jc w:val="left"/>
        <w:rPr/>
      </w:pPr>
      <w:r>
        <w:rPr/>
        <w:t>​</w:t>
      </w:r>
    </w:p>
    <w:tbl>
      <w:tblPr>
        <w:tblW w:w="6873" w:type="dxa"/>
        <w:jc w:val="left"/>
        <w:tblInd w:w="0" w:type="dxa"/>
        <w:tblLayout w:type="fixed"/>
        <w:tblCellMar>
          <w:top w:w="0" w:type="dxa"/>
          <w:left w:w="0" w:type="dxa"/>
          <w:bottom w:w="0" w:type="dxa"/>
          <w:right w:w="0" w:type="dxa"/>
        </w:tblCellMar>
      </w:tblPr>
      <w:tblGrid>
        <w:gridCol w:w="5041"/>
        <w:gridCol w:w="346"/>
        <w:gridCol w:w="1486"/>
      </w:tblGrid>
      <w:tr>
        <w:trPr/>
        <w:tc>
          <w:tcPr>
            <w:tcW w:w="5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01035" cy="175260"/>
                      <wp:effectExtent l="0" t="0" r="0" b="0"/>
                      <wp:wrapNone/>
                      <wp:docPr id="94" name="Frame84"/>
                      <a:graphic xmlns:a="http://schemas.openxmlformats.org/drawingml/2006/main">
                        <a:graphicData uri="http://schemas.microsoft.com/office/word/2010/wordprocessingShape">
                          <wps:wsp>
                            <wps:cNvSpPr txBox="1"/>
                            <wps:spPr>
                              <a:xfrm>
                                <a:off x="0" y="0"/>
                                <a:ext cx="32010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43610" cy="175260"/>
                      <wp:effectExtent l="0" t="0" r="0" b="0"/>
                      <wp:wrapNone/>
                      <wp:docPr id="96" name="Frame8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50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Warrant liabilities</w:t>
            </w:r>
          </w:p>
        </w:tc>
      </w:tr>
      <w:tr>
        <w:trPr/>
        <w:tc>
          <w:tcPr>
            <w:tcW w:w="50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4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04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Initial recognition during the year ended December 31, 2025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4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253,087</w:t>
            </w:r>
          </w:p>
        </w:tc>
      </w:tr>
      <w:tr>
        <w:trPr/>
        <w:tc>
          <w:tcPr>
            <w:tcW w:w="504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Fair value change</w:t>
            </w:r>
          </w:p>
        </w:tc>
        <w:tc>
          <w:tcPr>
            <w:tcW w:w="346" w:type="dxa"/>
            <w:tcBorders/>
            <w:vAlign w:val="center"/>
          </w:tcPr>
          <w:p>
            <w:pPr>
              <w:pStyle w:val="TableContents"/>
              <w:bidi w:val="0"/>
              <w:spacing w:lineRule="auto" w:line="304" w:before="0"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(47,941)</w:t>
            </w:r>
          </w:p>
        </w:tc>
      </w:tr>
      <w:tr>
        <w:trPr/>
        <w:tc>
          <w:tcPr>
            <w:tcW w:w="504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Balance as of December 31, 2025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48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205,146</w:t>
            </w:r>
          </w:p>
        </w:tc>
      </w:tr>
      <w:tr>
        <w:trPr/>
        <w:tc>
          <w:tcPr>
            <w:tcW w:w="504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Fair value change</w:t>
            </w:r>
          </w:p>
        </w:tc>
        <w:tc>
          <w:tcPr>
            <w:tcW w:w="346" w:type="dxa"/>
            <w:tcBorders/>
            <w:vAlign w:val="center"/>
          </w:tcPr>
          <w:p>
            <w:pPr>
              <w:pStyle w:val="TableContents"/>
              <w:bidi w:val="0"/>
              <w:spacing w:lineRule="auto" w:line="304" w:before="0"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973,556</w:t>
            </w:r>
          </w:p>
        </w:tc>
      </w:tr>
      <w:tr>
        <w:trPr/>
        <w:tc>
          <w:tcPr>
            <w:tcW w:w="504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4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1,178,702</w:t>
            </w:r>
          </w:p>
        </w:tc>
      </w:tr>
    </w:tbl>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Group did not transfer any assets or liabilities in or out of Level 3 during the six months ended June 30, 2025 and 2026.</w:t>
      </w:r>
    </w:p>
    <w:p>
      <w:pPr>
        <w:pStyle w:val="TextBody"/>
        <w:bidi w:val="0"/>
        <w:spacing w:lineRule="auto" w:line="304"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equipment and software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Property and equipment and software are stated at cost less accumulated depreciation and amortization. Depreciation and amortization are computed using the straight-line method over the estimated useful lives of the assets as follows:</w:t>
      </w:r>
    </w:p>
    <w:p>
      <w:pPr>
        <w:pStyle w:val="TextBody"/>
        <w:bidi w:val="0"/>
        <w:spacing w:lineRule="auto" w:line="285" w:before="0" w:after="240"/>
        <w:ind w:left="0" w:right="0" w:hanging="0"/>
        <w:jc w:val="left"/>
        <w:rPr/>
      </w:pPr>
      <w:r>
        <w:rPr/>
        <w:t>​</w:t>
      </w:r>
    </w:p>
    <w:tbl>
      <w:tblPr>
        <w:tblW w:w="8328" w:type="dxa"/>
        <w:jc w:val="left"/>
        <w:tblInd w:w="0" w:type="dxa"/>
        <w:tblLayout w:type="fixed"/>
        <w:tblCellMar>
          <w:top w:w="0" w:type="dxa"/>
          <w:left w:w="0" w:type="dxa"/>
          <w:bottom w:w="0" w:type="dxa"/>
          <w:right w:w="0" w:type="dxa"/>
        </w:tblCellMar>
      </w:tblPr>
      <w:tblGrid>
        <w:gridCol w:w="3151"/>
        <w:gridCol w:w="346"/>
        <w:gridCol w:w="483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00885" cy="175260"/>
                      <wp:effectExtent l="0" t="0" r="0" b="0"/>
                      <wp:wrapNone/>
                      <wp:docPr id="97" name="Frame87"/>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067685" cy="175260"/>
                      <wp:effectExtent l="0" t="0" r="0" b="0"/>
                      <wp:wrapNone/>
                      <wp:docPr id="99" name="Frame89"/>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151" w:type="dxa"/>
            <w:tcBorders>
              <w:bottom w:val="single" w:sz="2" w:space="0" w:color="000000"/>
            </w:tcBorders>
            <w:tcMar>
              <w:bottom w:w="28" w:type="dxa"/>
            </w:tcMar>
            <w:vAlign w:val="center"/>
          </w:tcPr>
          <w:p>
            <w:pPr>
              <w:pStyle w:val="TableContents"/>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Category</w:t>
            </w:r>
          </w:p>
        </w:tc>
        <w:tc>
          <w:tcPr>
            <w:tcW w:w="346" w:type="dxa"/>
            <w:tcBorders/>
            <w:vAlign w:val="center"/>
          </w:tcPr>
          <w:p>
            <w:pPr>
              <w:pStyle w:val="TableContents"/>
              <w:bidi w:val="0"/>
              <w:spacing w:lineRule="auto" w:line="304" w:before="0" w:after="1"/>
              <w:ind w:left="0" w:right="0" w:hanging="0"/>
              <w:jc w:val="left"/>
              <w:rPr/>
            </w:pPr>
            <w:r>
              <w:rPr/>
              <w:t>  ​ ​ ​</w:t>
            </w:r>
          </w:p>
        </w:tc>
        <w:tc>
          <w:tcPr>
            <w:tcW w:w="483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Life</w:t>
            </w:r>
          </w:p>
        </w:tc>
      </w:tr>
      <w:tr>
        <w:trPr/>
        <w:tc>
          <w:tcPr>
            <w:tcW w:w="31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Machinery and laboratory equipment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483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15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lineRule="auto" w:line="304" w:before="0" w:after="160"/>
              <w:ind w:left="0" w:right="0" w:hanging="0"/>
              <w:jc w:val="left"/>
              <w:rPr/>
            </w:pPr>
            <w:r>
              <w:rPr/>
              <w:t>​</w:t>
            </w:r>
          </w:p>
        </w:tc>
        <w:tc>
          <w:tcPr>
            <w:tcW w:w="483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4 years</w:t>
            </w:r>
          </w:p>
        </w:tc>
      </w:tr>
      <w:tr>
        <w:trPr/>
        <w:tc>
          <w:tcPr>
            <w:tcW w:w="31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Furniture and tools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483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2"/>
              </w:rPr>
            </w:pPr>
            <w:r>
              <w:rPr>
                <w:rFonts w:ascii="Times New Roman;Times;serif" w:hAnsi="Times New Roman;Times;serif"/>
                <w:sz w:val="20"/>
              </w:rPr>
              <w:t>3</w:t>
            </w:r>
            <w:r>
              <w:rPr>
                <w:rFonts w:ascii="Times New Roman;Times;serif" w:hAnsi="Times New Roman;Times;serif"/>
                <w:sz w:val="22"/>
              </w:rPr>
              <w:t xml:space="preserve"> </w:t>
            </w:r>
            <w:r>
              <w:rPr>
                <w:rFonts w:ascii="Times New Roman;Times;serif" w:hAnsi="Times New Roman;Times;serif"/>
                <w:sz w:val="20"/>
              </w:rPr>
              <w:t>- 5 years</w:t>
            </w:r>
          </w:p>
        </w:tc>
      </w:tr>
      <w:tr>
        <w:trPr/>
        <w:tc>
          <w:tcPr>
            <w:tcW w:w="315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vAlign w:val="center"/>
          </w:tcPr>
          <w:p>
            <w:pPr>
              <w:pStyle w:val="TableContents"/>
              <w:bidi w:val="0"/>
              <w:spacing w:lineRule="auto" w:line="304" w:before="0" w:after="160"/>
              <w:ind w:left="0" w:right="0" w:hanging="0"/>
              <w:jc w:val="left"/>
              <w:rPr/>
            </w:pPr>
            <w:r>
              <w:rPr/>
              <w:t>​</w:t>
            </w:r>
          </w:p>
        </w:tc>
        <w:tc>
          <w:tcPr>
            <w:tcW w:w="483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315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483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2"/>
              </w:rPr>
            </w:pPr>
            <w:r>
              <w:rPr>
                <w:rFonts w:ascii="Times New Roman;Times;serif" w:hAnsi="Times New Roman;Times;serif"/>
                <w:sz w:val="20"/>
              </w:rPr>
              <w:t>3</w:t>
            </w:r>
            <w:r>
              <w:rPr>
                <w:rFonts w:ascii="Times New Roman;Times;serif" w:hAnsi="Times New Roman;Times;serif"/>
                <w:sz w:val="22"/>
              </w:rPr>
              <w:t xml:space="preserve"> </w:t>
            </w:r>
            <w:r>
              <w:rPr>
                <w:rFonts w:ascii="Times New Roman;Times;serif" w:hAnsi="Times New Roman;Times;serif"/>
                <w:sz w:val="20"/>
              </w:rPr>
              <w:t>- 5 years</w:t>
            </w:r>
          </w:p>
        </w:tc>
      </w:tr>
      <w:tr>
        <w:trPr/>
        <w:tc>
          <w:tcPr>
            <w:tcW w:w="3151" w:type="dxa"/>
            <w:tcBorders/>
            <w:vAlign w:val="center"/>
          </w:tcPr>
          <w:p>
            <w:pPr>
              <w:pStyle w:val="TableContents"/>
              <w:bidi w:val="0"/>
              <w:spacing w:lineRule="auto" w:line="304"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346" w:type="dxa"/>
            <w:tcBorders/>
            <w:vAlign w:val="center"/>
          </w:tcPr>
          <w:p>
            <w:pPr>
              <w:pStyle w:val="TableContents"/>
              <w:bidi w:val="0"/>
              <w:spacing w:lineRule="auto" w:line="304" w:before="0" w:after="160"/>
              <w:ind w:left="0" w:right="0" w:hanging="0"/>
              <w:jc w:val="left"/>
              <w:rPr/>
            </w:pPr>
            <w:r>
              <w:rPr/>
              <w:t>​</w:t>
            </w:r>
          </w:p>
        </w:tc>
        <w:tc>
          <w:tcPr>
            <w:tcW w:w="483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Lesser of lease terms or estimated useful lives of the assets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16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Repair and maintenance costs are charged to expense as incurred, whereas the cost of renewals and betterments that extend the useful lives of property, equipment and software are capitalized as additions to the related assets. Retirements, sales and disposals of assets are recorded by removing the cost and accumulated depreciation and amortization from the asset and accumulated depreciation and amortization accounts with any resulting gain or loss reflected in the condensed consolidated statements of comprehensive loss.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evaluates the recoverability of its long-lived assets, including fixed assets and intangible assets with finite lives, for impairment whenever events or changes in circumstances indicate that the carrying amount of an asset may not be fully recoverable. When these events occur, the Group measures impairment by comparing the carrying amount of the assets to the estimated undiscounted future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is the new cost basis and is depreciated over the assets’ remaining useful lives. Long-lived assets are grouped with other assets and liabilities at the lowest level for which identifiable cash flows are largely independent of the cash flows of other assets and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impairment loss was recorded for the six months ended June 30, 2025 and 2026.</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contract inception of collaboration and out-licensing arrangements, the Group analyzes its arrangements to assess whether they are within the scope of ASC 808, </w:t>
      </w:r>
      <w:r>
        <w:rPr>
          <w:rFonts w:ascii="Times New Roman;Times;serif" w:hAnsi="Times New Roman;Times;serif"/>
          <w:i/>
          <w:sz w:val="20"/>
        </w:rPr>
        <w:t>Collaborative Arrangements</w:t>
      </w:r>
      <w:r>
        <w:rPr>
          <w:rFonts w:ascii="Times New Roman;Times;serif" w:hAnsi="Times New Roman;Times;serif"/>
          <w:sz w:val="20"/>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For collaboration arrangements within the scope of ASC 808 that contain multiple elements, the Group first determines which elements of the collaboration are deemed to be within the scope of ASC 808 and those that are reflective of a vendor-customer relationship and therefore within the scope of ASC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For elements of collaboration arrangements that are accounted for pursuant to ASC 808, an appropriate recognition method is determined and applied consistently. Under the criteria of ASC 606, the Group recognizes revenue to depict the transfer of control of promised goods or services to customers in an amount that reflects the consideration to which the entity expects to receive in exchange for those goods or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adopted ASC 606 for all periods presented.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Group only applies the five-step model to contracts when it is probable that the entity will collect substantially all the consideration to which it is entitled in exchange for the goods or services it transfers to the customer. The Group reviews the contract to determine which performance obligations are distinct and represent a promise to provide distinct goods or services or a series of distinct goods or services as defined by the standard. The Group recognizes as revenue the amount of the transaction price that is allocated to each performance obligation as and when that performance obligation is satisfied.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i/>
          <w:sz w:val="20"/>
        </w:rPr>
        <w:t>Licenses of Intellectual Property:</w:t>
      </w:r>
      <w:r>
        <w:rPr>
          <w:rFonts w:ascii="Times New Roman;Times;serif" w:hAnsi="Times New Roman;Times;serif"/>
          <w:sz w:val="20"/>
        </w:rPr>
        <w:t xml:space="preserve"> Upfront non-refundable payments for licensing the Group’s intellectual property are evaluated to determine if the license is distinct from the other performance obligations identified in the arrangement. For licenses determined to be distinct, the Group recognizes revenues from non-refundable, up-front fees allocated to the license at a point in time, when the transfer of control of the license to the licensee occurs and the licensee is able to use and benefit from the license. For licenses determined not to be distinct, the Group accounts for the promise to grant a license and those other promised goods or services together as a single performance obligation when recognizing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i/>
          <w:sz w:val="20"/>
        </w:rPr>
        <w:t>Research and Development Services</w:t>
      </w:r>
      <w:r>
        <w:rPr>
          <w:rFonts w:ascii="Times New Roman;Times;serif" w:hAnsi="Times New Roman;Times;serif"/>
          <w:sz w:val="20"/>
        </w:rPr>
        <w:t>: The portion of a transaction price allocated to research and development services performance obligations is deferred and recognized as collaboration revenue over time as delivery or performance of such services occurs.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i/>
          <w:sz w:val="20"/>
        </w:rPr>
        <w:t>Milestone Payments:</w:t>
      </w:r>
      <w:r>
        <w:rPr>
          <w:rFonts w:ascii="Times New Roman;Times;serif" w:hAnsi="Times New Roman;Times;serif"/>
          <w:sz w:val="20"/>
        </w:rPr>
        <w:t xml:space="preserve"> At the inception of each arrangement that includes development, commercialization, and regulatory milestone payments, the Group evaluates whether the milestones are considered probable of being reached and to the extent that a significant reversal of cumulative revenue would not occur in future periods, estimates the amount to be included in the transaction price using the most likely amount method. The transaction price is then allocated to each performance obligation on a relative stand-alone selling price basis, for which the Group recognizes revenue as or when the performance obligations under the contract are satisfied. At the end of each subsequent reporting period, the Group re-evaluates the probability of achieving such development milestones and any related constraint, and if necessary, adjust the estimate of the overall transaction price. Any such adjustments are recorded on a cumulative catch-up basis, which would affect revenues and earnings in the period of adjustment.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i/>
          <w:sz w:val="20"/>
        </w:rPr>
        <w:t>Royalties:</w:t>
      </w:r>
      <w:r>
        <w:rPr>
          <w:rFonts w:ascii="Times New Roman;Times;serif" w:hAnsi="Times New Roman;Times;serif"/>
          <w:sz w:val="20"/>
        </w:rPr>
        <w:t xml:space="preserve"> For arrangements that include sales-based royalties, including milestone payments based on the level of sales, and the license is deemed to be the predominant item to which the royalties relate, the Group recognizes revenue at the later of (i) when the related sales occur, or (ii) when the performance obligation to which some or all of the royalty has been allocated has been satisfied (or partially satisfied).</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Contract assets and contract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When a customer pays consideration before the Group transfers products or services, the Group records its obligation as a contract liability; When the Group satisfies its performance obligations by providing products or services to a customer before the customer pays consideration and before payment is due, the Group recognizes its rights to consideration as a contract asset.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285"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Elements of research and development expenses primarily include (1) payroll and other related costs of personnel engaged in research and development activities, (2) costs related to pre - clinical testing of the Group’s technologies under development and clinical trials such as payments to contract research organizations (“CRO”) and contract development and manufacturing organizations (“CDMO”), investigators and clinical trial sites that conduct the clinical studies; (3) costs to develop the product candidates, including raw materials and supplies, product testing, depreciation and amortization, and facility related expenses, and (4) other research and development expenses. Research and development costs are expensed as incurred when the related research and development services are provided to the Group and the resulting assets, if any, have no alternative future uses. As of December 31, 2025 and June 30, 2026, the Group had several ongoing clinical studies in various clinical trial stages. The contracts with CRO and CDMO are generally cancellable, with notice, at the Group’s option. The Group did not record any accrued expenses related to cancellation of CRO or CDMO contracts as of December 31, 2025 or June 30, 2026 as the Group did not have any plan to cancel the existing CRO or CDMO contracts.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subsidies</w:t>
      </w:r>
    </w:p>
    <w:p>
      <w:pPr>
        <w:pStyle w:val="TextBody"/>
        <w:bidi w:val="0"/>
        <w:spacing w:lineRule="auto" w:line="285"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 subsidies primarily consist of financial subsidies received from provincial and local governments for operating a business in their jurisdictions and compliance with specific policies promoted by the governments. The Group’s PRC based subsidiary received government subsidies from certain local government. The Group’s government subsidies consist of specific subsidies and other subsidies. Specific subsidies are subsidies that the local government has set certain conditions for the subsidies. Other subsidies are the subsidies that the local government has not set any conditions and are not tied to future trends or performance of the Group, receipt of such subsidy income is not contingent upon any further actions or performance of the Group and the amounts do not have to be refunded under any circumstances. These specific subsidies are recorded as other non-current liabilities upon receipt and are recognized as other income when the conditions are met. Other subsidies are recognized as other income upon receipt as further performance by the Group is not required. </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There were no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government subsidies received during the six months ended June 30, 2025. Government subsidies of US$25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thousand were received and recognized as other income during the six months ended June 30, 2026.</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ASC 842, </w:t>
      </w:r>
      <w:r>
        <w:rPr>
          <w:rFonts w:ascii="Times New Roman;Times;serif" w:hAnsi="Times New Roman;Times;serif"/>
          <w:i/>
          <w:sz w:val="20"/>
        </w:rPr>
        <w:t>Leases</w:t>
      </w:r>
      <w:r>
        <w:rPr>
          <w:rFonts w:ascii="Times New Roman;Times;serif" w:hAnsi="Times New Roman;Times;serif"/>
          <w:sz w:val="20"/>
        </w:rPr>
        <w:t xml:space="preserve"> (“ASC 842”), the Group determines if an arrangement is or contains a lease at inception. Operating leases are included in operating lease right-of-use (“ROU”) assets and lease liabilities on the condensed consolidated balance sheet. Lease liabilities that become due within one year of the balance sheet date are classified as current liabilities. The Group does not have any finance leases since the adoption date.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ROU assets represent the right to use an underlying asset for the lease term and lease liabilities represent the obligation to make lease payments arising from the lease. ROU assets and lease liabilities are calculated as the present value of the lease payments not yet paid. As the rate implicit in the Group’s leases is not typically readily available, the Group uses an incremental borrowing rate based on the information available at the lease commencement date in determining the present value of lease payments. This incremental borrowing rate reflects the fixed rate at which the Group could borrow the amount of the lease payments in the same currency, for a similar term, in a similar economic environment. ROU assets include any lease prepayments and are reduced by lease incentives. Operating lease expense for lease payments is recognized on a straight-line basis over the lease term. Lease terms are based on the non-cancelable term of the lease and may contain options to extend the lease when it is reasonably certain that the Group will exercise that option.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has elected to adopt the following lease policies (i) elect for each lease not to separate non-lease components from lease components and instead to account for each separate lease component and the non-lease components associated with that lease component as a single lease component; (ii) for leases that have lease terms of 12 months or less and does not include a purchase option that is reasonably certain to exercise, the Group elected not to apply ASC 842 recognition requirements; and (iii) the Group elected to apply the package of practical expedients for existing arrangements entered into prior to January 1, 2022 to not reassess (a) whether an arrangement is or contains a lease, (b) the lease classification.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income (loss)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Comprehensive income (loss) is defined as the changes in equity of the Group during a period from transactions and other events and circumstances excluding transactions resulting from investments by shareholders and distributions to shareholders. Accumulated other comprehensive income (loss) of the Group includes foreign currency translation adjustments related to the Group and its subsidiaries whose functional currency is not US$.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follows the liability method of accounting for income taxes in accordance with ASC 740, </w:t>
      </w:r>
      <w:r>
        <w:rPr>
          <w:rFonts w:ascii="Times New Roman;Times;serif" w:hAnsi="Times New Roman;Times;serif"/>
          <w:i/>
          <w:sz w:val="20"/>
        </w:rPr>
        <w:t>Income Taxes</w:t>
      </w:r>
      <w:r>
        <w:rPr>
          <w:rFonts w:ascii="Times New Roman;Times;serif" w:hAnsi="Times New Roman;Times;serif"/>
          <w:sz w:val="20"/>
        </w:rPr>
        <w:t xml:space="preserve">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evaluates its uncertain tax positions using the provisions of ASC 740, which prescribes a recognition threshold that a tax position is required to meet before being recognized in the condensed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recognizes in the condensed consolidated financial statements the benefit of a tax position which is “more likely than not” to be sustained under examination based solely on the technical merits of the position assuming a review by tax authorities having all relevant information. Tax positions that meet the recognition threshold are measured using a cumulative probability approach, at the largest amount of tax benefit that has a greater than fifty percent likelihood of being realized upon settlement. It is the Group’s policy to recognize interest and penalties related to unrecognized tax benefits, if any, as a component of income tax expense.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Borrowings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Borrowings are recognized initially at fair value, net of transaction costs incurred. Borrowings are subsequently stated at amortized cost; any difference between the proceeds (net of transaction costs) and the redemption value is recognized in the condensed consolidated statements of comprehensive loss over the period of the borrowings using the effective interest method.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grants restricted shares and stock options to eligible employees and nonemployees and accounts for share-based compensation in accordance with ASC 718, </w:t>
      </w:r>
      <w:r>
        <w:rPr>
          <w:rFonts w:ascii="Times New Roman;Times;serif" w:hAnsi="Times New Roman;Times;serif"/>
          <w:i/>
          <w:sz w:val="20"/>
        </w:rPr>
        <w:t>Compensation—Stock Compensation</w:t>
      </w:r>
      <w:r>
        <w:rPr>
          <w:rFonts w:ascii="Times New Roman;Times;serif" w:hAnsi="Times New Roman;Times;serif"/>
          <w:sz w:val="2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Share-based compensation awards are measured at the grant date fair value of the awards and recognized as expenses (a) immediately at the grant date if no vesting conditions are required; (b) for share-based awards granted with only service conditions, using the straight-line method over the vesting period; or (c) for share-based awards granted with service conditions and performance conditions, using the graded vesting method over the vesting period if and when the Company concludes that it is probable that the performance conditions will be achieved.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change in any of the terms or conditions of share-based awards is accounted for as a modification of the awards. The Group calculates incremental compensation expense of a modification as the excess of the fair value of the modified awards over the fair value of the original awards immediately before its terms are modified at the modification date. For vested awards, the Group recognizes incremental compensation cost in the period when the modification occurs. For awards not being fully vested, the Group recognizes the sum of the incremental compensation expense and the remaining unrecognized compensation expense for the original awards over the remaining requisite service period after modification.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 xml:space="preserve">In accordance with ASC 260, </w:t>
      </w:r>
      <w:r>
        <w:rPr>
          <w:rFonts w:ascii="Times New Roman;Times;serif" w:hAnsi="Times New Roman;Times;serif"/>
          <w:b w:val="false"/>
          <w:i/>
          <w:sz w:val="20"/>
        </w:rPr>
        <w:t>Earnings Per Share</w:t>
      </w:r>
      <w:r>
        <w:rPr>
          <w:rFonts w:ascii="Times New Roman;Times;serif" w:hAnsi="Times New Roman;Times;serif"/>
          <w:b w:val="false"/>
          <w:i w:val="false"/>
          <w:caps w:val="false"/>
          <w:smallCaps w:val="false"/>
          <w:sz w:val="20"/>
        </w:rPr>
        <w:t>, basic net loss per share is computed by dividing net loss attributable to ordinary shareholders by the weighted average number of unrestricted ordinary shares outstanding during the period using the two-class method. Under the two-class method, net loss is allocated between ordinary shares and other participating securities based on dividends declared (or accumulated) and participating rights in undistributed earnings as if all the earnings for the reporting period had been distributed. Diluted net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include ordinary shares issuable upon the conversion of the contingently redeemable convertible preferred shares using the if-converted method as applicable, and ordinary shares issuable upon the exercise of share options and warrants using the treasury stock method. Ordinary share equivalents are excluded from the computation of diluted earnings per share if their effects are anti-dilutive. For the periods presented herein, the computation of basic net loss per share using the two-class method is not applicable as the Group does not have participating securities that have contractual rights and obligations to share in the losses of the Group.</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defined contribution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stipulated by the regulations of the PRC, full-time employees of the Group are entitled to staff welfare benefits including medical care, welfare subsidies, unemployment insurance and pension benefits through a PRC government-mandated multi-employer defined contribution plan. The Group is required to accrue for these benefits based on certain percentages of the qualified employees’ salaries. The Group is required to make contributions to the plans out of the amounts accrued. The PRC government is responsible for the medical benefits and the pension liability to be paid to these employees and the Group’s obligations are limited to the amounts contributed. The Group has no further payment obligations once the contributions have been paid. The Group recorded employee benefit expenses of US$947,916 and US$998,910 for the six months ended June 30, 2025 and 2026, respectively.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risks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and June 30, 2026, the amount of cash and cash equivalents of US$8,327,345 and US$6,150,976, respectively, were held at major financial institutions located in Mainland China, and US$66,196,437 and US$121,758,864, respectively, were deposited with major financial institutions located outside of Mainland China. Management believes that these financial institutions are of high credit quality and continually monitors the credit worthiness of these financial institutions.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is typically unsecured and denominated in US$ and/or RMB and is derived from revenues earned from customers. The Group manages credit risk of accounts receivable through ongoing monitoring of the outstanding balances.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Concentration of suppliers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significant portion of the Group’s research and development services were purchased from one supplier group, who collectively accounted for 12.0% and 15.0% of the Group’s total research and development services purchases for the six months ended June 30, 2025 and 2026, respectively. During the six months ended June 30, 2025 and 2026, a second supplier group also collectively accounted for 10% and 20% of the Group’s total research and development services purchased, respectively.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Business and economic risk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believes that changes in any of the following areas could have a material adverse effect on the Group’s future consolidated financial position, results of operations or cash flows: changes in the overall demand for services; competitive pressures due to new entrants; advances and new trends in new technologies and industry standards; changes in certain strategic relationships; regulatory considerations and risks associated with the Group’s ability to attract employees necessary to support its growth. The Group’s operations could also be adversely affected by significant political, regulatory, economic and social uncertainties in the PRC.</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Foreign currency exchange rate risk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significant portion of the Group’s businesses are transacted in RMB, which is not a freely convertible currency. On January 1, 1994, the PRC government abolished the dual rate system and introduced a single rate of exchange as quoted daily by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From July 21, 2005, the RMB is permitted to fluctuate within a narrow and managed band against a basket of certain foreign currencies. For U.S. dollar against RMB, there were depreciation of approximately 0.41% and 3.10% in the six months ended June 30, 2025 and 2026, respectively. It is difficult to predict how market forces or PRC or U.S. government policy may impact the exchange rate between the RMB and the U.S. dollar in the future.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functional currency and the reporting currency of the Company are the US$. However, the Group incurs portions of our expenses, and derives revenues, in currencies other than US$, in particular, the RMB. Any significant fluctuation of the valuation of RMB may materially affect the Group’s cash flows, expenses, losses and financial position, and the value of any dividends payable on the American Depositary Shares in US$.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Group elected to take advantage of the extended transition periods. However, this election will not apply when the Group ceases to be classified as an EGC on December 31, 2026.</w:t>
      </w:r>
    </w:p>
    <w:p>
      <w:pPr>
        <w:pStyle w:val="TextBody"/>
        <w:bidi w:val="0"/>
        <w:spacing w:lineRule="auto" w:line="285" w:before="0" w:after="240"/>
        <w:ind w:left="0" w:right="0" w:hanging="0"/>
        <w:jc w:val="both"/>
        <w:rPr>
          <w:rFonts w:ascii="Times New Roman;Times;serif" w:hAnsi="Times New Roman;Times;serif"/>
          <w:i/>
          <w:sz w:val="20"/>
        </w:rPr>
      </w:pPr>
      <w:r>
        <w:rPr>
          <w:rFonts w:ascii="Times New Roman;Times;serif" w:hAnsi="Times New Roman;Times;serif"/>
          <w:i/>
          <w:sz w:val="20"/>
        </w:rPr>
        <w:t>New and amended standards not yet adopted by the Group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w:t>
      </w:r>
      <w:r>
        <w:rPr>
          <w:rFonts w:ascii="Times New Roman;Times;serif" w:hAnsi="Times New Roman;Times;serif"/>
          <w:sz w:val="20"/>
        </w:rPr>
        <w:t xml:space="preserve">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which requires disclosure about the types of costs and expenses included in certain expense captions presented on the income statement. The standard allows the amendments to be applied on a prospective basis or a retrospective basis. In January 2025, the FASB issued ASU 2025-01, which revises the effective date of ASU 2024-03 to clarify that all public business entities are required to adopt the guidance in annual reporting periods beginning after December 15, 2026, and interim periods within annual reporting periods beginning after December 15, 2027. Early adoption is permitted. The Group is currently in the process of evaluating the impact of this accounting standard update on its condensed consolidated financial statements and related disclosures.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 xml:space="preserve">Government Grants (Topic 832): Accounting for Government Grants Received by Business Entities </w:t>
      </w:r>
      <w:r>
        <w:rPr>
          <w:rFonts w:ascii="Times New Roman;Times;serif" w:hAnsi="Times New Roman;Times;serif"/>
          <w:sz w:val="20"/>
        </w:rPr>
        <w:t>(“ASU 2025-10”),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standard provides specific accounting models for grants related to assets and grants related to income, including options to recognize government grants as deferred income or as a reduction of the asset’s cost basis. The standards also require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ASU 2025-10.</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240"/>
        <w:ind w:left="0" w:right="0" w:hanging="0"/>
        <w:jc w:val="left"/>
        <w:rPr>
          <w:rFonts w:ascii="Times New Roman;Times;serif" w:hAnsi="Times New Roman;Times;serif"/>
          <w:b/>
          <w:sz w:val="20"/>
        </w:rPr>
      </w:pPr>
      <w:bookmarkStart w:id="666" w:name="Tc_57NTqHIuYUe1kH1i4Ra2dQ_7_2"/>
      <w:bookmarkStart w:id="667" w:name="Tc_GNRZ6Mq9PkaRx42g3THiGA_6_4"/>
      <w:bookmarkStart w:id="668" w:name="Tc_j03l4EOuzE68bw5z3o1AAQ_6_2"/>
      <w:bookmarkStart w:id="669" w:name="Tc_lUKEHelYeke7klLWWFKBNw_6_0"/>
      <w:bookmarkStart w:id="670" w:name="Tc_PnK0W_mSTUia8BZwo0kVOw_5_2"/>
      <w:bookmarkStart w:id="671" w:name="Tc_efFbb5CRvEmflufJlYmzHw_5_0"/>
      <w:bookmarkStart w:id="672" w:name="Tc_gLBXuhOGQU6U0bN-jk6oYg_4_4"/>
      <w:bookmarkStart w:id="673" w:name="Tc_R9up3ARY00a4NOe7FftJDg_4_2"/>
      <w:bookmarkStart w:id="674" w:name="Tc_4DEPVfGGvUKrQ-16M9QaGA_3_4"/>
      <w:bookmarkStart w:id="675" w:name="Tc_ktdbenfz3EiYo6lzVJjUaw_3_2"/>
      <w:bookmarkStart w:id="676" w:name="Tc_c11cItCNKEqWr58V1mwp-g_2_4"/>
      <w:bookmarkStart w:id="677" w:name="Tc_NMRe_ZZPcEWw5MAmtEDLjA_2_2"/>
      <w:bookmarkStart w:id="678" w:name="Tc_cquNowZhvkWzcfK_6RuN6w_1_2"/>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Times New Roman;Times;serif" w:hAnsi="Times New Roman;Times;serif"/>
          <w:b/>
          <w:sz w:val="20"/>
        </w:rPr>
        <w:t>3. ACCOUNTS RECEIVABLE, NET</w:t>
      </w:r>
    </w:p>
    <w:p>
      <w:pPr>
        <w:pStyle w:val="TextBody"/>
        <w:bidi w:val="0"/>
        <w:spacing w:lineRule="auto" w:line="304" w:before="0" w:after="160"/>
        <w:ind w:left="0" w:right="0" w:hanging="0"/>
        <w:jc w:val="left"/>
        <w:rPr/>
      </w:pPr>
      <w:r>
        <w:rPr/>
        <w:t>​</w:t>
      </w:r>
    </w:p>
    <w:tbl>
      <w:tblPr>
        <w:tblW w:w="5750" w:type="dxa"/>
        <w:jc w:val="left"/>
        <w:tblInd w:w="0" w:type="dxa"/>
        <w:tblLayout w:type="fixed"/>
        <w:tblCellMar>
          <w:top w:w="0" w:type="dxa"/>
          <w:left w:w="0" w:type="dxa"/>
          <w:bottom w:w="0" w:type="dxa"/>
          <w:right w:w="0" w:type="dxa"/>
        </w:tblCellMar>
      </w:tblPr>
      <w:tblGrid>
        <w:gridCol w:w="2776"/>
        <w:gridCol w:w="346"/>
        <w:gridCol w:w="1096"/>
        <w:gridCol w:w="346"/>
        <w:gridCol w:w="118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762760" cy="175260"/>
                      <wp:effectExtent l="0" t="0" r="0" b="0"/>
                      <wp:wrapNone/>
                      <wp:docPr id="100" name="Frame90"/>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5960" cy="175260"/>
                      <wp:effectExtent l="0" t="0" r="0" b="0"/>
                      <wp:wrapNone/>
                      <wp:docPr id="102" name="Frame9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53110" cy="175260"/>
                      <wp:effectExtent l="0" t="0" r="0" b="0"/>
                      <wp:wrapNone/>
                      <wp:docPr id="104" name="Frame9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vAlign w:val="center"/>
          </w:tcPr>
          <w:p>
            <w:pPr>
              <w:pStyle w:val="TableContents"/>
              <w:bidi w:val="0"/>
              <w:spacing w:lineRule="auto" w:line="304" w:before="0" w:after="160"/>
              <w:ind w:left="0" w:right="0" w:hanging="0"/>
              <w:jc w:val="center"/>
              <w:rPr/>
            </w:pPr>
            <w:r>
              <w:rPr/>
              <w:t>​</w:t>
            </w:r>
          </w:p>
        </w:tc>
      </w:tr>
      <w:tr>
        <w:trPr/>
        <w:tc>
          <w:tcPr>
            <w:tcW w:w="27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27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7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7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9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150,000</w:t>
            </w:r>
          </w:p>
        </w:tc>
      </w:tr>
      <w:tr>
        <w:trPr/>
        <w:tc>
          <w:tcPr>
            <w:tcW w:w="277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lineRule="auto" w:line="304"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r>
      <w:tr>
        <w:trPr/>
        <w:tc>
          <w:tcPr>
            <w:tcW w:w="2776" w:type="dxa"/>
            <w:tcBorders/>
            <w:shd w:fill="CCEEFF" w:val="clear"/>
            <w:vAlign w:val="center"/>
          </w:tcPr>
          <w:p>
            <w:pPr>
              <w:pStyle w:val="TableContents"/>
              <w:bidi w:val="0"/>
              <w:spacing w:lineRule="auto" w:line="304"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150,000</w:t>
            </w:r>
          </w:p>
        </w:tc>
      </w:tr>
    </w:tbl>
    <w:p>
      <w:pPr>
        <w:pStyle w:val="TextBody"/>
        <w:bidi w:val="0"/>
        <w:spacing w:lineRule="auto" w:line="304" w:before="0" w:after="160"/>
        <w:ind w:left="0" w:right="0" w:hanging="0"/>
        <w:jc w:val="left"/>
        <w:rPr/>
      </w:pPr>
      <w:r>
        <w:rPr/>
        <w:t>​</w:t>
      </w:r>
    </w:p>
    <w:p>
      <w:pPr>
        <w:pStyle w:val="TextBody"/>
        <w:bidi w:val="0"/>
        <w:spacing w:lineRule="auto" w:line="304" w:before="0" w:after="16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679" w:name="Tc_HrF6TxFQEkykSHK1GzVsyg_7_0"/>
      <w:bookmarkStart w:id="680" w:name="Tc_klFY1n4avk-JYFUMEk6sUw_6_0"/>
      <w:bookmarkStart w:id="681" w:name="Tc_Pggn1iyB7EqfaEf4aj2p1A_5_0"/>
      <w:bookmarkStart w:id="682" w:name="Tc_xJl7QoyJvEKPLzbzeZRG8A_4_4"/>
      <w:bookmarkStart w:id="683" w:name="Tc_0_kTmgPg1U2Qa8_luOtRPg_4_2"/>
      <w:bookmarkStart w:id="684" w:name="Tc_8dtfbn5qjk2hZqvUt5NXJw_3_4"/>
      <w:bookmarkStart w:id="685" w:name="Tc_RcMjL98nlE2CN1oWrKyJiA_3_2"/>
      <w:bookmarkStart w:id="686" w:name="Tc_cKVkMkyd00-dFR-unHSVeg_2_4"/>
      <w:bookmarkStart w:id="687" w:name="Tc_OVea-2iQU0eJXHI4gseHlg_2_2"/>
      <w:bookmarkStart w:id="688" w:name="Tc_V6v3Dez7F0GVWXqw2XezyA_1_2"/>
      <w:bookmarkStart w:id="689" w:name="_9a2b8f55_f70b_4335_afde_759ab42b291b"/>
      <w:bookmarkEnd w:id="679"/>
      <w:bookmarkEnd w:id="680"/>
      <w:bookmarkEnd w:id="681"/>
      <w:bookmarkEnd w:id="682"/>
      <w:bookmarkEnd w:id="683"/>
      <w:bookmarkEnd w:id="684"/>
      <w:bookmarkEnd w:id="685"/>
      <w:bookmarkEnd w:id="686"/>
      <w:bookmarkEnd w:id="687"/>
      <w:bookmarkEnd w:id="688"/>
      <w:bookmarkEnd w:id="689"/>
      <w:r>
        <w:rPr>
          <w:rFonts w:ascii="Times New Roman;Times;serif" w:hAnsi="Times New Roman;Times;serif"/>
          <w:b/>
          <w:sz w:val="20"/>
        </w:rPr>
        <w:t>4. PREPAYMENTS AND OTHER CURRENT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Prepayments and other current assets consisted of the following:</w:t>
      </w:r>
    </w:p>
    <w:p>
      <w:pPr>
        <w:pStyle w:val="TextBody"/>
        <w:bidi w:val="0"/>
        <w:spacing w:lineRule="auto" w:line="304" w:before="0" w:after="160"/>
        <w:ind w:left="0" w:right="0" w:hanging="0"/>
        <w:jc w:val="left"/>
        <w:rPr/>
      </w:pPr>
      <w:r>
        <w:rPr/>
        <w:t>​</w:t>
      </w:r>
    </w:p>
    <w:tbl>
      <w:tblPr>
        <w:tblW w:w="4130" w:type="dxa"/>
        <w:jc w:val="left"/>
        <w:tblInd w:w="0" w:type="dxa"/>
        <w:tblLayout w:type="fixed"/>
        <w:tblCellMar>
          <w:top w:w="0" w:type="dxa"/>
          <w:left w:w="0" w:type="dxa"/>
          <w:bottom w:w="0" w:type="dxa"/>
          <w:right w:w="0" w:type="dxa"/>
        </w:tblCellMar>
      </w:tblPr>
      <w:tblGrid>
        <w:gridCol w:w="1156"/>
        <w:gridCol w:w="346"/>
        <w:gridCol w:w="1096"/>
        <w:gridCol w:w="346"/>
        <w:gridCol w:w="118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734060" cy="175260"/>
                      <wp:effectExtent l="0" t="0" r="0" b="0"/>
                      <wp:wrapNone/>
                      <wp:docPr id="105" name="Frame9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5960" cy="175260"/>
                      <wp:effectExtent l="0" t="0" r="0" b="0"/>
                      <wp:wrapNone/>
                      <wp:docPr id="107" name="Frame9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53110" cy="175260"/>
                      <wp:effectExtent l="0" t="0" r="0" b="0"/>
                      <wp:wrapNone/>
                      <wp:docPr id="109" name="Frame9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60"/>
              <w:ind w:left="0" w:right="0" w:hanging="0"/>
              <w:jc w:val="left"/>
              <w:rPr/>
            </w:pPr>
            <w:r>
              <w:rPr/>
              <w:t>​</w:t>
            </w:r>
          </w:p>
        </w:tc>
      </w:tr>
      <w:tr>
        <w:trPr/>
        <w:tc>
          <w:tcPr>
            <w:tcW w:w="11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11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1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15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Prepayments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310,966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512,989</w:t>
            </w:r>
          </w:p>
        </w:tc>
      </w:tr>
      <w:tr>
        <w:trPr/>
        <w:tc>
          <w:tcPr>
            <w:tcW w:w="115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Deposits (a)</w:t>
            </w:r>
          </w:p>
        </w:tc>
        <w:tc>
          <w:tcPr>
            <w:tcW w:w="346" w:type="dxa"/>
            <w:tcBorders/>
            <w:vAlign w:val="center"/>
          </w:tcPr>
          <w:p>
            <w:pPr>
              <w:pStyle w:val="TableContents"/>
              <w:bidi w:val="0"/>
              <w:spacing w:lineRule="auto" w:line="304" w:before="0" w:after="1"/>
              <w:ind w:left="0" w:right="0" w:hanging="0"/>
              <w:jc w:val="left"/>
              <w:rPr/>
            </w:pPr>
            <w:r>
              <w:rPr/>
              <w:t> </w:t>
            </w:r>
          </w:p>
        </w:tc>
        <w:tc>
          <w:tcPr>
            <w:tcW w:w="109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1,320,313</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2,164,161</w:t>
            </w:r>
          </w:p>
        </w:tc>
      </w:tr>
      <w:tr>
        <w:trPr/>
        <w:tc>
          <w:tcPr>
            <w:tcW w:w="115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 xml:space="preserve">Others </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1,202,755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1,668,608</w:t>
            </w:r>
          </w:p>
        </w:tc>
      </w:tr>
      <w:tr>
        <w:trPr/>
        <w:tc>
          <w:tcPr>
            <w:tcW w:w="11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2,834,034</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4,345,758</w:t>
            </w:r>
          </w:p>
        </w:tc>
      </w:tr>
    </w:tbl>
    <w:p>
      <w:pPr>
        <w:pStyle w:val="TextBody"/>
        <w:bidi w:val="0"/>
        <w:spacing w:lineRule="auto" w:line="285"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Note (a): The deposits represented the amounts that the Group paid to its CRO vendors for various outsourced research and development programs according to the terms of respective CRO agreements. The Group expects to recover the deposits if the programs fail or the agreements are cancelled.</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690" w:name="Tc_P08EICpgJEqpCC4WgnPUaA_13_0"/>
      <w:bookmarkStart w:id="691" w:name="Tc_N5TOiqhW-0iCnS0upOCoqw_12_0"/>
      <w:bookmarkStart w:id="692" w:name="Tc_jWyavoZaTkyt13woHLWPdw_11_0"/>
      <w:bookmarkStart w:id="693" w:name="Tc_hqEWb2oDS0CUF4tQp9h3Iw_10_0"/>
      <w:bookmarkStart w:id="694" w:name="Tc_-3IrGWjauEmJiuR7pLq3ig_9_0"/>
      <w:bookmarkStart w:id="695" w:name="Tc_-vBq6pYttk6Zg9tl-_h_yA_8_0"/>
      <w:bookmarkStart w:id="696" w:name="Tc__237lxlLqk6yHw7CpmZccw_7_0"/>
      <w:bookmarkStart w:id="697" w:name="Tc_rKZjGtEUFkaM72yZB85wOw_6_0"/>
      <w:bookmarkStart w:id="698" w:name="Tc_sgNL4zYDwkW6pzxPi6YU_g_5_0"/>
      <w:bookmarkStart w:id="699" w:name="Tc_YNHgOEY2mE25XUXfwAXq6g_4_4"/>
      <w:bookmarkStart w:id="700" w:name="Tc_GK9vUzajy0qmnfAs70TD6w_4_2"/>
      <w:bookmarkStart w:id="701" w:name="Tc_0MdnobqZk0yUWPZjqfLkHA_3_4"/>
      <w:bookmarkStart w:id="702" w:name="Tc_7UNXdwD6dkyhRVlDvKVOCA_3_2"/>
      <w:bookmarkStart w:id="703" w:name="Tc_ij1IUjQoHkqMfJ_nIjN4Hw_2_4"/>
      <w:bookmarkStart w:id="704" w:name="Tc_2QpX_s_3YESlGzjr8j809w_2_2"/>
      <w:bookmarkStart w:id="705" w:name="Tc_eW1TzHPqnkGeXOIkHr8Big_1_2"/>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Times New Roman;Times;serif" w:hAnsi="Times New Roman;Times;serif"/>
          <w:b/>
          <w:sz w:val="20"/>
        </w:rPr>
        <w:t>5. PROPERTY, EQUIPMENT AND SOFTWARE, NET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Property, equipment and software consisted of the following:</w:t>
      </w:r>
    </w:p>
    <w:p>
      <w:pPr>
        <w:pStyle w:val="TextBody"/>
        <w:bidi w:val="0"/>
        <w:spacing w:lineRule="auto" w:line="304" w:before="0" w:after="160"/>
        <w:ind w:left="0" w:right="0" w:hanging="0"/>
        <w:jc w:val="left"/>
        <w:rPr/>
      </w:pPr>
      <w:r>
        <w:rPr/>
        <w:t>​</w:t>
      </w:r>
    </w:p>
    <w:tbl>
      <w:tblPr>
        <w:tblW w:w="7085" w:type="dxa"/>
        <w:jc w:val="left"/>
        <w:tblInd w:w="0" w:type="dxa"/>
        <w:tblLayout w:type="fixed"/>
        <w:tblCellMar>
          <w:top w:w="0" w:type="dxa"/>
          <w:left w:w="0" w:type="dxa"/>
          <w:bottom w:w="0" w:type="dxa"/>
          <w:right w:w="0" w:type="dxa"/>
        </w:tblCellMar>
      </w:tblPr>
      <w:tblGrid>
        <w:gridCol w:w="4111"/>
        <w:gridCol w:w="346"/>
        <w:gridCol w:w="1096"/>
        <w:gridCol w:w="346"/>
        <w:gridCol w:w="11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610485" cy="175260"/>
                      <wp:effectExtent l="0" t="0" r="0" b="0"/>
                      <wp:wrapNone/>
                      <wp:docPr id="110" name="Frame10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5960" cy="175260"/>
                      <wp:effectExtent l="0" t="0" r="0" b="0"/>
                      <wp:wrapNone/>
                      <wp:docPr id="112" name="Frame10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53110" cy="175260"/>
                      <wp:effectExtent l="0" t="0" r="0" b="0"/>
                      <wp:wrapNone/>
                      <wp:docPr id="114" name="Frame10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60"/>
              <w:ind w:left="0" w:right="0" w:hanging="0"/>
              <w:jc w:val="left"/>
              <w:rPr/>
            </w:pPr>
            <w:r>
              <w:rPr/>
              <w:t>​</w:t>
            </w:r>
          </w:p>
        </w:tc>
      </w:tr>
      <w:tr>
        <w:trPr/>
        <w:tc>
          <w:tcPr>
            <w:tcW w:w="41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41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1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11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Machinery and laboratory equipment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5,232,597</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5,390,653</w:t>
            </w:r>
          </w:p>
        </w:tc>
      </w:tr>
      <w:tr>
        <w:trPr/>
        <w:tc>
          <w:tcPr>
            <w:tcW w:w="411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1,054,204</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869,514</w:t>
            </w:r>
          </w:p>
        </w:tc>
      </w:tr>
      <w:tr>
        <w:trPr/>
        <w:tc>
          <w:tcPr>
            <w:tcW w:w="411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1,818,366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1,931,764</w:t>
            </w:r>
          </w:p>
        </w:tc>
      </w:tr>
      <w:tr>
        <w:trPr/>
        <w:tc>
          <w:tcPr>
            <w:tcW w:w="411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Furniture and tools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50,035</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85,288</w:t>
            </w:r>
          </w:p>
        </w:tc>
      </w:tr>
      <w:tr>
        <w:trPr/>
        <w:tc>
          <w:tcPr>
            <w:tcW w:w="411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43,635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46,249</w:t>
            </w:r>
          </w:p>
        </w:tc>
      </w:tr>
      <w:tr>
        <w:trPr/>
        <w:tc>
          <w:tcPr>
            <w:tcW w:w="411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364,586</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369,119</w:t>
            </w:r>
          </w:p>
        </w:tc>
      </w:tr>
      <w:tr>
        <w:trPr/>
        <w:tc>
          <w:tcPr>
            <w:tcW w:w="411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property, equipment and software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8,563,423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8,692,587</w:t>
            </w:r>
          </w:p>
        </w:tc>
      </w:tr>
      <w:tr>
        <w:trPr/>
        <w:tc>
          <w:tcPr>
            <w:tcW w:w="411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(7,846,049)</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(7,975,971)</w:t>
            </w:r>
          </w:p>
        </w:tc>
      </w:tr>
      <w:tr>
        <w:trPr/>
        <w:tc>
          <w:tcPr>
            <w:tcW w:w="411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book value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717,374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716,616</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2"/>
        </w:rPr>
        <w:t>Depreciation and amortization expenses recognized for the six months ended June 30, 2025 and 2026 were</w:t>
      </w:r>
      <w:r>
        <w:rPr>
          <w:rFonts w:ascii="Times New Roman;Times;serif" w:hAnsi="Times New Roman;Times;serif"/>
          <w:sz w:val="20"/>
        </w:rPr>
        <w:t xml:space="preserve"> US$229,569 and US$174,928 respectively.</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706" w:name="Tc_WNUgi4f1GU2a4uRdgb0uZw_8_0"/>
      <w:bookmarkStart w:id="707" w:name="Tc_xvXLAB9hVEeHc_kGiRQ6gA_7_0"/>
      <w:bookmarkStart w:id="708" w:name="Tc_Nh3Ewogkf0Ww16iE3jYiDA_6_0"/>
      <w:bookmarkStart w:id="709" w:name="Tc_zEniaD340E27KFyPejdWdg_5_0"/>
      <w:bookmarkStart w:id="710" w:name="Tc_KvfASM4qJkmlbXkcLT1IUA_4_4"/>
      <w:bookmarkStart w:id="711" w:name="Tc_ECFjNJsRjkiCSMbm5mVGGA_4_2"/>
      <w:bookmarkStart w:id="712" w:name="Tc_AVG03bpGl0WFMkWnQZzuHQ_3_4"/>
      <w:bookmarkStart w:id="713" w:name="Tc_VRL23n2YYEWETaUeN0jDeg_3_2"/>
      <w:bookmarkStart w:id="714" w:name="Tc_ZR1Td-PfBkWprqdljxPe7Q_2_4"/>
      <w:bookmarkStart w:id="715" w:name="Tc_FxF92Z9Dx0W1mpqlS9pZ0A_2_2"/>
      <w:bookmarkStart w:id="716" w:name="Tc_URwbxqYlDUWa-GiTQj2B0A_1_2"/>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sz w:val="20"/>
        </w:rPr>
        <w:t>6. ACCRUALS AND OTHER CURRENT LIABILITIES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and other current liabilities consisted of the following:</w:t>
      </w:r>
    </w:p>
    <w:p>
      <w:pPr>
        <w:pStyle w:val="TextBody"/>
        <w:bidi w:val="0"/>
        <w:spacing w:lineRule="auto" w:line="285" w:before="0" w:after="240"/>
        <w:ind w:left="0" w:right="0" w:hanging="0"/>
        <w:jc w:val="left"/>
        <w:rPr/>
      </w:pPr>
      <w:r>
        <w:rPr/>
        <w:t>​</w:t>
      </w:r>
    </w:p>
    <w:tbl>
      <w:tblPr>
        <w:tblW w:w="5450" w:type="dxa"/>
        <w:jc w:val="left"/>
        <w:tblInd w:w="0" w:type="dxa"/>
        <w:tblLayout w:type="fixed"/>
        <w:tblCellMar>
          <w:top w:w="0" w:type="dxa"/>
          <w:left w:w="0" w:type="dxa"/>
          <w:bottom w:w="0" w:type="dxa"/>
          <w:right w:w="0" w:type="dxa"/>
        </w:tblCellMar>
      </w:tblPr>
      <w:tblGrid>
        <w:gridCol w:w="2476"/>
        <w:gridCol w:w="346"/>
        <w:gridCol w:w="1096"/>
        <w:gridCol w:w="346"/>
        <w:gridCol w:w="11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72260" cy="175260"/>
                      <wp:effectExtent l="0" t="0" r="0" b="0"/>
                      <wp:wrapNone/>
                      <wp:docPr id="115" name="Frame105"/>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5960" cy="175260"/>
                      <wp:effectExtent l="0" t="0" r="0" b="0"/>
                      <wp:wrapNone/>
                      <wp:docPr id="117" name="Frame10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53110" cy="175260"/>
                      <wp:effectExtent l="0" t="0" r="0" b="0"/>
                      <wp:wrapNone/>
                      <wp:docPr id="119" name="Frame10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60"/>
              <w:ind w:left="0" w:right="0" w:hanging="0"/>
              <w:jc w:val="left"/>
              <w:rPr/>
            </w:pPr>
            <w:r>
              <w:rPr/>
              <w:t>​</w:t>
            </w:r>
          </w:p>
        </w:tc>
      </w:tr>
      <w:tr>
        <w:trPr/>
        <w:tc>
          <w:tcPr>
            <w:tcW w:w="24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24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7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7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Professional service fees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924,349</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968,687</w:t>
            </w:r>
          </w:p>
        </w:tc>
      </w:tr>
      <w:tr>
        <w:trPr/>
        <w:tc>
          <w:tcPr>
            <w:tcW w:w="247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Payroll and related liabilities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1,251,040</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865,099</w:t>
            </w:r>
          </w:p>
        </w:tc>
      </w:tr>
      <w:tr>
        <w:trPr/>
        <w:tc>
          <w:tcPr>
            <w:tcW w:w="247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 taxes and surcharge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588,309</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583,199</w:t>
            </w:r>
          </w:p>
        </w:tc>
      </w:tr>
      <w:tr>
        <w:trPr/>
        <w:tc>
          <w:tcPr>
            <w:tcW w:w="247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27,096</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163,719</w:t>
            </w:r>
          </w:p>
        </w:tc>
      </w:tr>
      <w:tr>
        <w:trPr/>
        <w:tc>
          <w:tcPr>
            <w:tcW w:w="2476" w:type="dxa"/>
            <w:tcBorders/>
            <w:shd w:fill="CCEEFF" w:val="clear"/>
            <w:vAlign w:val="center"/>
          </w:tcPr>
          <w:p>
            <w:pPr>
              <w:pStyle w:val="TableContents"/>
              <w:bidi w:val="0"/>
              <w:spacing w:lineRule="auto" w:line="304"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2,790,794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2,580,704</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717" w:name="Tc_lWFzzUjviEmElpKRrGrm0Q_14_0"/>
      <w:bookmarkStart w:id="718" w:name="Tc_ZrLaLaEJ9Uaes29ujj4xhQ_13_0"/>
      <w:bookmarkStart w:id="719" w:name="Tc_DFxfaQqqhU2AAvHnUWb0iQ_12_0"/>
      <w:bookmarkStart w:id="720" w:name="Tc_a-dAj1ybRkiQUwPyHJ007w_11_0"/>
      <w:bookmarkStart w:id="721" w:name="Tc_sYvvDREBKEasq-lkcAShZg_10_0"/>
      <w:bookmarkStart w:id="722" w:name="Tc_nRHcH7F3H0eT9Fb1g1dIjw_9_0"/>
      <w:bookmarkStart w:id="723" w:name="Tc_cMdARzhFQk61EYBA5T3aJw_8_0"/>
      <w:bookmarkStart w:id="724" w:name="Tc_m1Az1gZuSUmsQg4D0KzV3g_7_0"/>
      <w:bookmarkStart w:id="725" w:name="Tc_14iQhwu_5keAg6y4QCZi-w_6_0"/>
      <w:bookmarkStart w:id="726" w:name="Tc_ufhEnRIwjUS6VpFuvQ7NSw_5_0"/>
      <w:bookmarkStart w:id="727" w:name="Tc_m0IbgTE8ZkuAhevY--r-kw_4_4"/>
      <w:bookmarkStart w:id="728" w:name="Tc_kNKPEGLuO0GZDyFf8KjA3Q_4_2"/>
      <w:bookmarkStart w:id="729" w:name="Tc_F08mz3frHkmFU62p__7A7Q_3_4"/>
      <w:bookmarkStart w:id="730" w:name="Tc_78dZUHY0C0aj3BbSyZrMjw_3_2"/>
      <w:bookmarkStart w:id="731" w:name="Tc_iJbkEW7JUE6hCRdsGjFEog_2_4"/>
      <w:bookmarkStart w:id="732" w:name="Tc_YtFR2GYzbkSAzZnNxoQ8Hg_2_2"/>
      <w:bookmarkStart w:id="733" w:name="Tc_5mG_qD3DaUaJly5O1jRKGw_1_2"/>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7. BORROWINGS</w:t>
      </w:r>
    </w:p>
    <w:p>
      <w:pPr>
        <w:pStyle w:val="TextBody"/>
        <w:bidi w:val="0"/>
        <w:spacing w:lineRule="auto" w:line="285" w:before="0" w:after="240"/>
        <w:ind w:left="0" w:right="0" w:hanging="0"/>
        <w:jc w:val="left"/>
        <w:rPr/>
      </w:pPr>
      <w:r>
        <w:rPr/>
        <w:t>​</w:t>
      </w:r>
    </w:p>
    <w:tbl>
      <w:tblPr>
        <w:tblW w:w="6365" w:type="dxa"/>
        <w:jc w:val="left"/>
        <w:tblInd w:w="0" w:type="dxa"/>
        <w:tblLayout w:type="fixed"/>
        <w:tblCellMar>
          <w:top w:w="0" w:type="dxa"/>
          <w:left w:w="0" w:type="dxa"/>
          <w:bottom w:w="0" w:type="dxa"/>
          <w:right w:w="0" w:type="dxa"/>
        </w:tblCellMar>
      </w:tblPr>
      <w:tblGrid>
        <w:gridCol w:w="3391"/>
        <w:gridCol w:w="346"/>
        <w:gridCol w:w="1096"/>
        <w:gridCol w:w="346"/>
        <w:gridCol w:w="118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53285" cy="175260"/>
                      <wp:effectExtent l="0" t="0" r="0" b="0"/>
                      <wp:wrapNone/>
                      <wp:docPr id="120" name="Frame11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5960" cy="175260"/>
                      <wp:effectExtent l="0" t="0" r="0" b="0"/>
                      <wp:wrapNone/>
                      <wp:docPr id="122" name="Frame1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53110" cy="175260"/>
                      <wp:effectExtent l="0" t="0" r="0" b="0"/>
                      <wp:wrapNone/>
                      <wp:docPr id="124" name="Frame11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60"/>
              <w:ind w:left="0" w:right="0" w:hanging="0"/>
              <w:jc w:val="left"/>
              <w:rPr/>
            </w:pPr>
            <w:r>
              <w:rPr/>
              <w:t>​</w:t>
            </w:r>
          </w:p>
        </w:tc>
      </w:tr>
      <w:tr>
        <w:trPr/>
        <w:tc>
          <w:tcPr>
            <w:tcW w:w="33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33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3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39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Current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60"/>
              <w:ind w:left="0" w:right="0" w:hanging="0"/>
              <w:jc w:val="right"/>
              <w:rPr/>
            </w:pPr>
            <w:r>
              <w:rPr/>
              <w:t>​</w:t>
            </w:r>
          </w:p>
        </w:tc>
      </w:tr>
      <w:tr>
        <w:trPr/>
        <w:tc>
          <w:tcPr>
            <w:tcW w:w="339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vAlign w:val="center"/>
          </w:tcPr>
          <w:p>
            <w:pPr>
              <w:pStyle w:val="TableContents"/>
              <w:bidi w:val="0"/>
              <w:spacing w:lineRule="auto" w:line="304" w:before="0" w:after="160"/>
              <w:ind w:left="0" w:right="0" w:hanging="0"/>
              <w:jc w:val="right"/>
              <w:rPr/>
            </w:pPr>
            <w:r>
              <w:rPr/>
              <w:t>​</w:t>
            </w:r>
          </w:p>
        </w:tc>
      </w:tr>
      <w:tr>
        <w:trPr/>
        <w:tc>
          <w:tcPr>
            <w:tcW w:w="339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Bank loans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4,268,154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4,404,704</w:t>
            </w:r>
          </w:p>
        </w:tc>
      </w:tr>
      <w:tr>
        <w:trPr/>
        <w:tc>
          <w:tcPr>
            <w:tcW w:w="339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711,359</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293,647</w:t>
            </w:r>
          </w:p>
        </w:tc>
      </w:tr>
      <w:tr>
        <w:trPr/>
        <w:tc>
          <w:tcPr>
            <w:tcW w:w="339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current borrowings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4,979,513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4,698,351</w:t>
            </w:r>
          </w:p>
        </w:tc>
      </w:tr>
      <w:tr>
        <w:trPr/>
        <w:tc>
          <w:tcPr>
            <w:tcW w:w="3391"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Non-Current</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vAlign w:val="center"/>
          </w:tcPr>
          <w:p>
            <w:pPr>
              <w:pStyle w:val="TableContents"/>
              <w:bidi w:val="0"/>
              <w:spacing w:lineRule="auto" w:line="304" w:before="0" w:after="160"/>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vAlign w:val="center"/>
          </w:tcPr>
          <w:p>
            <w:pPr>
              <w:pStyle w:val="TableContents"/>
              <w:bidi w:val="0"/>
              <w:spacing w:lineRule="auto" w:line="304" w:before="0" w:after="160"/>
              <w:ind w:left="0" w:right="0" w:hanging="0"/>
              <w:jc w:val="right"/>
              <w:rPr/>
            </w:pPr>
            <w:r>
              <w:rPr/>
              <w:t>​</w:t>
            </w:r>
          </w:p>
        </w:tc>
      </w:tr>
      <w:tr>
        <w:trPr/>
        <w:tc>
          <w:tcPr>
            <w:tcW w:w="339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60"/>
              <w:ind w:left="0" w:right="0" w:hanging="0"/>
              <w:jc w:val="right"/>
              <w:rPr/>
            </w:pPr>
            <w:r>
              <w:rPr/>
              <w:t>​</w:t>
            </w:r>
          </w:p>
        </w:tc>
      </w:tr>
      <w:tr>
        <w:trPr/>
        <w:tc>
          <w:tcPr>
            <w:tcW w:w="339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Bank loans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1,138,174</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1,027,764</w:t>
            </w:r>
          </w:p>
        </w:tc>
      </w:tr>
      <w:tr>
        <w:trPr/>
        <w:tc>
          <w:tcPr>
            <w:tcW w:w="339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non-current borrowings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1,138,174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1,027,764</w:t>
            </w:r>
          </w:p>
        </w:tc>
      </w:tr>
      <w:tr>
        <w:trPr/>
        <w:tc>
          <w:tcPr>
            <w:tcW w:w="3391" w:type="dxa"/>
            <w:tcBorders/>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Total borrowings</w:t>
            </w:r>
          </w:p>
        </w:tc>
        <w:tc>
          <w:tcPr>
            <w:tcW w:w="346" w:type="dxa"/>
            <w:tcBorders/>
            <w:vAlign w:val="center"/>
          </w:tcPr>
          <w:p>
            <w:pPr>
              <w:pStyle w:val="TableContents"/>
              <w:bidi w:val="0"/>
              <w:spacing w:lineRule="auto" w:line="304" w:before="0" w:after="160"/>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6,117,687</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5,726,115</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Short-term borrowings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2024, the Group borrowed a loan with the amount of RMB20,000,000 from China Construction Bank Corporation for a term of one year at the interest rate of 3.50% per annum. The borrowing was repaid in June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September 2024, the Group borrowed a loan with the amount of RMB15,000,000 from Bank of Ningbo Co., Ltd for a term of one year at the interest rate of 3.80% per annum. The borrowing was repaid in September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2025, the Group borrowed a loan with the amount of RMB20,000,000 from China Construction Bank Corporation for a term of one year at the interest rate of 3.50% per annum. The borrowing was repaid in July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2025, the Group borrowed a loan with the amount of RMB10,000,000 from China Zheshang Bank Co., Ltd for a term of one year at the interest rate of 2.95% per annum.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Long-term borrowings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May 2022, the Group borrowed a loan with the amount of RMB30,000,000 from Agricultural Bank of China Limited for a term of three years at the interest rate of 4.00% per annum. The Group repaid RMB3,000,000 in 2023, RMB5,000,000 in 2024, and RMB22,000,000 in 2025. The loan was fully repaid in May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734" w:name="Tc_Vm5c3_JMO0W2oYkgagmZig_5_0"/>
      <w:bookmarkStart w:id="735" w:name="Tc_V6KC2tWnqUW46iSTjAYjww_4_0"/>
      <w:bookmarkStart w:id="736" w:name="Tc_A6KZ3w2LGkC2Dk7KLHeV-A_3_2"/>
      <w:bookmarkStart w:id="737" w:name="Tc_zagWKwfeR06xtJXHCn8Vqw_2_2"/>
      <w:bookmarkStart w:id="738" w:name="Tc_Q4g8OK7W_0K-xNc67cr9Tg_1_2"/>
      <w:bookmarkEnd w:id="734"/>
      <w:bookmarkEnd w:id="735"/>
      <w:bookmarkEnd w:id="736"/>
      <w:bookmarkEnd w:id="737"/>
      <w:bookmarkEnd w:id="738"/>
      <w:r>
        <w:rPr>
          <w:rFonts w:ascii="Times New Roman;Times;serif" w:hAnsi="Times New Roman;Times;serif"/>
          <w:sz w:val="20"/>
        </w:rPr>
        <w:t>Also in May 2022, the Group borrowed a loan with the amount of RMB20,000,000 from Shanghai Pudong Development Bank Co., Ltd. for a term of three years at the interest rate of 4.00% per annum. The Group repaid RMB500,000 in 2022, RMB1,500,000 in 2023, RMB9,500,000 in 2024, and RMB8,500,000 in 2025. The loan was fully repaid in May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August 2022, the Group borrowed a loan with the amount of RMB9,900,000 from Agricultural Bank of China Limited for a term of three years at the interest rate of 4.00% per annum. The Group repaid RMB1,000,000 in 2023, and RMB2,000,000 in 2024, and RMB6,900,000 in 2025. The loan was fully repaid in August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Also in August 2022, the Group borrowed a loan with the amount of RMB20,000,000 from Shanghai Pudong Development Bank Co., Ltd. for a term of three years at the interest rate of 4.00% per annum. The Group repaid RMB1,000,000 in 2023, RMB2,000,000 in 2024, and RMB17,000,000 in 2025. The loan was fully repaid in August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2022, the Group borrowed a loan with the amount of RMB9,900,000 from Agricultural Bank of China Limited for a term of three years at the interest rate of 4.00% per annum. The Group repaid RMB1,000,000 in 2023, RMB2,000,000 in 2024, and RMB6,900,000 in 2025. The loan was fully repaid in November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Also in November 2022, the Group borrowed a loan with the amount of RMB10,000,000 from Shanghai Pudong Development Bank Co., Ltd. for a term of three years at the interest rate of 4.00% per annum. The Group repaid RMB500,000 in 2023, RMB1,000,000 in 2024, and RMB8,500,000 in 2025. The loan was fully repaid in November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April 2023, the Group borrowed a loan with the amount of RMB7,000,000 from Shanghai Pudong Development Bank Co., Ltd. for a term of three years at the interest rate of 3.90% per annum. The Group repaid RMB150,000 in 2023, RMB550,000 in 2024, RMB3,300,000 in 2025 and RMB3,000,000 during the six months ended June 30, 2026. As of December 31, 2025, RMB3,000,000 repayable within twelve months for this agreement were classified as “Current portion of long-term borrowing” on the consolidated balance sheets. The loan was fully repaid in April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August 2023, the Group borrowed a loan with the amount of RMB10,000,000 from Bank of Jiangsu Co., Ltd. for a term of eighteen months at the interest rate of 3.80% per annum. The Group repaid RMB100,000 in 2024, and RMB9,900,000 in 2025. The loan was fully repaid in February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September 2023, the Group borrowed another loan with the amount of RMB10,000,000 from Bank of Jiangsu Co., Ltd. for a term of eighteen months at the interest rate of 3.80% per annum. The Group repaid RMB100,000 in 2024, and RMB9,900,000 in 2025. The loan was fully repaid in March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2025, the Group borrowed a loan with the amount of RMB10,000,000 from Shanghai Pudong Development Bank Co., Ltd. for a term of two years at the interest rate of 2.80% per annum. The Group repaid RMB1,000,000 during the six months ended June 30, 2026. As of December 31, 2025 and June 30, 2026, RMB2,000,000 and RMB2,000,000 repayable within twelve months for this agreement were classified as “Current portion of long-term borrowing” on the condensed consolidated balance sheets,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proceeds from the loans were primarily used to pay for the Group’s research and development activities in China, including CMC costs of clinical and preclinical programs. As of December 31, 2025 and June 30, 2026, none of the Group’s borrowings were collateralized in the respective loan agreements.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Future maturities of short-term borrowings and long-term borrowings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Future principal maturities of short-term borrowings and long-term borrowings as of June 30, 2026 were as follows:</w:t>
      </w:r>
    </w:p>
    <w:p>
      <w:pPr>
        <w:pStyle w:val="TextBody"/>
        <w:bidi w:val="0"/>
        <w:spacing w:lineRule="auto" w:line="285" w:before="0" w:after="240"/>
        <w:ind w:left="0" w:right="0" w:firstLine="720"/>
        <w:jc w:val="left"/>
        <w:rPr/>
      </w:pPr>
      <w:r>
        <w:rPr/>
        <w:t>​</w:t>
      </w:r>
    </w:p>
    <w:tbl>
      <w:tblPr>
        <w:tblW w:w="3213" w:type="dxa"/>
        <w:jc w:val="left"/>
        <w:tblInd w:w="0" w:type="dxa"/>
        <w:tblLayout w:type="fixed"/>
        <w:tblCellMar>
          <w:top w:w="0" w:type="dxa"/>
          <w:left w:w="0" w:type="dxa"/>
          <w:bottom w:w="0" w:type="dxa"/>
          <w:right w:w="0" w:type="dxa"/>
        </w:tblCellMar>
      </w:tblPr>
      <w:tblGrid>
        <w:gridCol w:w="1681"/>
        <w:gridCol w:w="346"/>
        <w:gridCol w:w="11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067435" cy="175260"/>
                      <wp:effectExtent l="0" t="0" r="0" b="0"/>
                      <wp:wrapNone/>
                      <wp:docPr id="125" name="Frame115"/>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53110" cy="175260"/>
                      <wp:effectExtent l="0" t="0" r="0" b="0"/>
                      <wp:wrapNone/>
                      <wp:docPr id="127" name="Frame11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168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68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68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4,698,351</w:t>
            </w:r>
          </w:p>
        </w:tc>
      </w:tr>
      <w:tr>
        <w:trPr/>
        <w:tc>
          <w:tcPr>
            <w:tcW w:w="168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1,027,764</w:t>
            </w:r>
          </w:p>
        </w:tc>
      </w:tr>
      <w:tr>
        <w:trPr/>
        <w:tc>
          <w:tcPr>
            <w:tcW w:w="1681" w:type="dxa"/>
            <w:tcBorders/>
            <w:shd w:fill="CCEEFF" w:val="clear"/>
            <w:vAlign w:val="center"/>
          </w:tcPr>
          <w:p>
            <w:pPr>
              <w:pStyle w:val="TableContents"/>
              <w:bidi w:val="0"/>
              <w:spacing w:lineRule="auto" w:line="304"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5,726,115</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739" w:name="Tc_P4IvHJtbqUSUlvxYPIBjnQ_9_0"/>
      <w:bookmarkStart w:id="740" w:name="Tc_eNlfYvoGHkmXK3Xsss9zVg_8_0"/>
      <w:bookmarkStart w:id="741" w:name="Tc_lEJRzU7bPUKkCQIxAW8tqA_7_0"/>
      <w:bookmarkStart w:id="742" w:name="Tc_hG5t5f_nKk63v8cbqInroA_6_0"/>
      <w:bookmarkStart w:id="743" w:name="Tc_JJSLOvkkhEalg2x13e9c3g_5_0"/>
      <w:bookmarkStart w:id="744" w:name="Tc_mpbSiTyue0yRbp7Si-MXMw_4_0"/>
      <w:bookmarkStart w:id="745" w:name="Tc_LAjrMGkToUa_apQINjibhg_3_4"/>
      <w:bookmarkStart w:id="746" w:name="Tc_n4ULHYr4-U26tfLGtzLOhw_3_2"/>
      <w:bookmarkStart w:id="747" w:name="Tc_Mf1P6Gm18k6lhvMG3otKyA_2_4"/>
      <w:bookmarkStart w:id="748" w:name="Tc_BiRomIItZU-qSOSHO_zu4w_2_2"/>
      <w:bookmarkStart w:id="749" w:name="Tc_A0zEx0ccxkylrXjipxzqQA_1_2"/>
      <w:bookmarkStart w:id="750" w:name="_cfd9a011_7b09_425c_9a89_691660f066a9"/>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8. SEGMENT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Group’s principal business activities are related to the discovery and development of novel antibody-based cancer medicines. The Group manages the business activities on a consolidated basis and operates in one reportable segment. The determination of a single reportable segment is consistent with the consolidated financial information regularly provided to the Group’s chief operating decision maker (CODM), which is its Chief Executive Officer, who reviews and evaluates consolidated net income (loss) for purposes of assessing performance, making operating decisions, allocating resources and planning and forecasting for future periods. The accounting policies of the segment are the same as those described in the summary of significant accounting policies for the Group. Refer to Note 2 for additional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Significant expenses within income (loss) from operations, as well as within net income (loss), include research and development, and administrative expenses, which are each separately presented on the Group’s condensed consolidated statements of comprehensive loss. Other segment items within net income (loss) include interest and investment income, interest expense, other income, net, and income tax benefit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significant expense categories included within the consolidated net loss presented on the Group’s condensed consolidated statements of comprehensive loss, see below for disaggregated amounts that comprise research and development expenses:</w:t>
      </w:r>
    </w:p>
    <w:p>
      <w:pPr>
        <w:pStyle w:val="TextBody"/>
        <w:bidi w:val="0"/>
        <w:spacing w:lineRule="auto" w:line="304" w:before="0" w:after="160"/>
        <w:ind w:left="0" w:right="0" w:hanging="0"/>
        <w:jc w:val="left"/>
        <w:rPr/>
      </w:pPr>
      <w:r>
        <w:rPr/>
        <w:t>​</w:t>
      </w:r>
    </w:p>
    <w:tbl>
      <w:tblPr>
        <w:tblW w:w="7877" w:type="dxa"/>
        <w:jc w:val="left"/>
        <w:tblInd w:w="0" w:type="dxa"/>
        <w:tblLayout w:type="fixed"/>
        <w:tblCellMar>
          <w:top w:w="0" w:type="dxa"/>
          <w:left w:w="0" w:type="dxa"/>
          <w:bottom w:w="0" w:type="dxa"/>
          <w:right w:w="0" w:type="dxa"/>
        </w:tblCellMar>
      </w:tblPr>
      <w:tblGrid>
        <w:gridCol w:w="4906"/>
        <w:gridCol w:w="346"/>
        <w:gridCol w:w="1078"/>
        <w:gridCol w:w="360"/>
        <w:gridCol w:w="1187"/>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115310" cy="175260"/>
                      <wp:effectExtent l="0" t="0" r="0" b="0"/>
                      <wp:wrapNone/>
                      <wp:docPr id="128" name="Frame118"/>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84530" cy="175260"/>
                      <wp:effectExtent l="0" t="0" r="0" b="0"/>
                      <wp:wrapNone/>
                      <wp:docPr id="130" name="Frame120"/>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28600" cy="175260"/>
                      <wp:effectExtent l="0" t="0" r="0" b="0"/>
                      <wp:wrapNone/>
                      <wp:docPr id="131" name="Frame1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53745" cy="175260"/>
                      <wp:effectExtent l="0" t="0" r="0" b="0"/>
                      <wp:wrapNone/>
                      <wp:docPr id="132" name="Frame122"/>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2625"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490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078"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0" w:type="dxa"/>
            <w:tcBorders/>
            <w:vAlign w:val="center"/>
          </w:tcPr>
          <w:p>
            <w:pPr>
              <w:pStyle w:val="TableContents"/>
              <w:bidi w:val="0"/>
              <w:spacing w:lineRule="auto" w:line="304" w:before="0" w:after="1"/>
              <w:ind w:left="0" w:right="0" w:hanging="0"/>
              <w:jc w:val="center"/>
              <w:rPr/>
            </w:pPr>
            <w:r>
              <w:rPr/>
              <w:t>  ​ ​ ​</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90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78"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60" w:type="dxa"/>
            <w:tcBorders/>
            <w:vAlign w:val="center"/>
          </w:tcPr>
          <w:p>
            <w:pPr>
              <w:pStyle w:val="TableContents"/>
              <w:bidi w:val="0"/>
              <w:spacing w:lineRule="auto" w:line="304" w:before="0" w:after="160"/>
              <w:ind w:left="0" w:right="0" w:hanging="0"/>
              <w:jc w:val="center"/>
              <w:rPr/>
            </w:pPr>
            <w:r>
              <w:rPr/>
              <w:t>​</w:t>
            </w:r>
          </w:p>
        </w:tc>
        <w:tc>
          <w:tcPr>
            <w:tcW w:w="1187"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0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w:t>
            </w:r>
            <w:r>
              <w:rPr>
                <w:rFonts w:ascii="Times New Roman;Times;serif" w:hAnsi="Times New Roman;Times;serif"/>
                <w:sz w:val="15"/>
              </w:rPr>
              <w:t>(a)</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7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3,940,166</w:t>
            </w:r>
          </w:p>
        </w:tc>
        <w:tc>
          <w:tcPr>
            <w:tcW w:w="360" w:type="dxa"/>
            <w:tcBorders/>
            <w:shd w:fill="CCEEFF" w:val="clear"/>
            <w:vAlign w:val="center"/>
          </w:tcPr>
          <w:p>
            <w:pPr>
              <w:pStyle w:val="TableContents"/>
              <w:bidi w:val="0"/>
              <w:spacing w:lineRule="auto" w:line="304" w:before="0" w:after="1"/>
              <w:ind w:left="0" w:right="0" w:hanging="0"/>
              <w:jc w:val="left"/>
              <w:rPr/>
            </w:pPr>
            <w:r>
              <w:rPr/>
              <w:t> </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5,575,874</w:t>
            </w:r>
          </w:p>
        </w:tc>
      </w:tr>
      <w:tr>
        <w:trPr/>
        <w:tc>
          <w:tcPr>
            <w:tcW w:w="490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Indirect research and development expenses</w:t>
            </w:r>
            <w:r>
              <w:rPr>
                <w:rFonts w:ascii="Times New Roman;Times;serif" w:hAnsi="Times New Roman;Times;serif"/>
                <w:sz w:val="15"/>
              </w:rPr>
              <w:t>(b)</w:t>
            </w:r>
          </w:p>
        </w:tc>
        <w:tc>
          <w:tcPr>
            <w:tcW w:w="346" w:type="dxa"/>
            <w:tcBorders/>
            <w:vAlign w:val="center"/>
          </w:tcPr>
          <w:p>
            <w:pPr>
              <w:pStyle w:val="TableContents"/>
              <w:bidi w:val="0"/>
              <w:spacing w:lineRule="auto" w:line="304" w:before="0" w:after="160"/>
              <w:ind w:left="0" w:right="0" w:hanging="0"/>
              <w:jc w:val="left"/>
              <w:rPr/>
            </w:pPr>
            <w:r>
              <w:rPr/>
              <w:t>​</w:t>
            </w:r>
          </w:p>
        </w:tc>
        <w:tc>
          <w:tcPr>
            <w:tcW w:w="1078" w:type="dxa"/>
            <w:tcBorders/>
            <w:vAlign w:val="center"/>
          </w:tcPr>
          <w:p>
            <w:pPr>
              <w:pStyle w:val="TableContents"/>
              <w:bidi w:val="0"/>
              <w:spacing w:lineRule="auto" w:line="304" w:before="0" w:after="160"/>
              <w:ind w:left="0" w:right="0" w:hanging="0"/>
              <w:jc w:val="right"/>
              <w:rPr/>
            </w:pPr>
            <w:r>
              <w:rPr/>
              <w:t>​</w:t>
            </w:r>
          </w:p>
        </w:tc>
        <w:tc>
          <w:tcPr>
            <w:tcW w:w="360" w:type="dxa"/>
            <w:tcBorders/>
            <w:vAlign w:val="center"/>
          </w:tcPr>
          <w:p>
            <w:pPr>
              <w:pStyle w:val="TableContents"/>
              <w:bidi w:val="0"/>
              <w:spacing w:lineRule="auto" w:line="304" w:before="0" w:after="160"/>
              <w:ind w:left="0" w:right="0" w:hanging="0"/>
              <w:jc w:val="left"/>
              <w:rPr/>
            </w:pPr>
            <w:r>
              <w:rPr/>
              <w:t>​</w:t>
            </w:r>
          </w:p>
        </w:tc>
        <w:tc>
          <w:tcPr>
            <w:tcW w:w="1187" w:type="dxa"/>
            <w:tcBorders/>
            <w:vAlign w:val="center"/>
          </w:tcPr>
          <w:p>
            <w:pPr>
              <w:pStyle w:val="TableContents"/>
              <w:bidi w:val="0"/>
              <w:spacing w:lineRule="auto" w:line="304" w:before="0" w:after="160"/>
              <w:ind w:left="0" w:right="0" w:hanging="0"/>
              <w:jc w:val="right"/>
              <w:rPr/>
            </w:pPr>
            <w:r>
              <w:rPr/>
              <w:t>​</w:t>
            </w:r>
          </w:p>
        </w:tc>
      </w:tr>
      <w:tr>
        <w:trPr/>
        <w:tc>
          <w:tcPr>
            <w:tcW w:w="490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Payroll and other related costs of personnel</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7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6,340,610</w:t>
            </w:r>
          </w:p>
        </w:tc>
        <w:tc>
          <w:tcPr>
            <w:tcW w:w="360" w:type="dxa"/>
            <w:tcBorders/>
            <w:shd w:fill="CCEEFF" w:val="clear"/>
            <w:vAlign w:val="center"/>
          </w:tcPr>
          <w:p>
            <w:pPr>
              <w:pStyle w:val="TableContents"/>
              <w:bidi w:val="0"/>
              <w:spacing w:lineRule="auto" w:line="304" w:before="0" w:after="1"/>
              <w:ind w:left="0" w:right="0" w:hanging="0"/>
              <w:jc w:val="left"/>
              <w:rPr/>
            </w:pPr>
            <w:r>
              <w:rPr/>
              <w:t> </w:t>
            </w:r>
          </w:p>
        </w:tc>
        <w:tc>
          <w:tcPr>
            <w:tcW w:w="11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6,773,495</w:t>
            </w:r>
          </w:p>
        </w:tc>
      </w:tr>
      <w:tr>
        <w:trPr/>
        <w:tc>
          <w:tcPr>
            <w:tcW w:w="490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Lab supplies and other research and development expenses</w:t>
            </w:r>
          </w:p>
        </w:tc>
        <w:tc>
          <w:tcPr>
            <w:tcW w:w="346" w:type="dxa"/>
            <w:tcBorders/>
            <w:vAlign w:val="center"/>
          </w:tcPr>
          <w:p>
            <w:pPr>
              <w:pStyle w:val="TableContents"/>
              <w:bidi w:val="0"/>
              <w:spacing w:lineRule="auto" w:line="304" w:before="0" w:after="1"/>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1,734,408</w:t>
            </w:r>
          </w:p>
        </w:tc>
        <w:tc>
          <w:tcPr>
            <w:tcW w:w="360" w:type="dxa"/>
            <w:tcBorders/>
            <w:vAlign w:val="center"/>
          </w:tcPr>
          <w:p>
            <w:pPr>
              <w:pStyle w:val="TableContents"/>
              <w:bidi w:val="0"/>
              <w:spacing w:lineRule="auto" w:line="304" w:before="0" w:after="1"/>
              <w:ind w:left="0" w:right="0" w:hanging="0"/>
              <w:jc w:val="left"/>
              <w:rPr/>
            </w:pPr>
            <w:r>
              <w:rPr/>
              <w:t> </w:t>
            </w:r>
          </w:p>
        </w:tc>
        <w:tc>
          <w:tcPr>
            <w:tcW w:w="11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1,615,298</w:t>
            </w:r>
          </w:p>
        </w:tc>
      </w:tr>
      <w:tr>
        <w:trPr/>
        <w:tc>
          <w:tcPr>
            <w:tcW w:w="490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indirect research and development expenses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8,075,018</w:t>
            </w:r>
          </w:p>
        </w:tc>
        <w:tc>
          <w:tcPr>
            <w:tcW w:w="360" w:type="dxa"/>
            <w:tcBorders/>
            <w:shd w:fill="CCEEFF" w:val="clear"/>
            <w:vAlign w:val="center"/>
          </w:tcPr>
          <w:p>
            <w:pPr>
              <w:pStyle w:val="TableContents"/>
              <w:bidi w:val="0"/>
              <w:spacing w:lineRule="auto" w:line="304" w:before="0" w:after="1"/>
              <w:ind w:left="0" w:right="0" w:hanging="0"/>
              <w:jc w:val="left"/>
              <w:rPr/>
            </w:pPr>
            <w:r>
              <w:rPr/>
              <w:t> </w:t>
            </w:r>
          </w:p>
        </w:tc>
        <w:tc>
          <w:tcPr>
            <w:tcW w:w="1187"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8,388,793</w:t>
            </w:r>
          </w:p>
        </w:tc>
      </w:tr>
      <w:tr>
        <w:trPr/>
        <w:tc>
          <w:tcPr>
            <w:tcW w:w="490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lineRule="auto" w:line="304" w:before="0" w:after="1"/>
              <w:ind w:left="0" w:right="0" w:hanging="0"/>
              <w:jc w:val="left"/>
              <w:rPr/>
            </w:pPr>
            <w:r>
              <w:rPr/>
              <w:t> </w:t>
            </w:r>
          </w:p>
        </w:tc>
        <w:tc>
          <w:tcPr>
            <w:tcW w:w="1078"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b/>
                <w:sz w:val="20"/>
              </w:rPr>
            </w:pPr>
            <w:r>
              <w:rPr>
                <w:rFonts w:ascii="Times New Roman;Times;serif" w:hAnsi="Times New Roman;Times;serif"/>
                <w:b/>
                <w:sz w:val="20"/>
              </w:rPr>
              <w:t>12,015,184</w:t>
            </w:r>
          </w:p>
        </w:tc>
        <w:tc>
          <w:tcPr>
            <w:tcW w:w="360" w:type="dxa"/>
            <w:tcBorders/>
            <w:vAlign w:val="center"/>
          </w:tcPr>
          <w:p>
            <w:pPr>
              <w:pStyle w:val="TableContents"/>
              <w:bidi w:val="0"/>
              <w:spacing w:lineRule="auto" w:line="304" w:before="0" w:after="1"/>
              <w:ind w:left="0" w:right="0" w:hanging="0"/>
              <w:jc w:val="left"/>
              <w:rPr/>
            </w:pPr>
            <w:r>
              <w:rPr/>
              <w:t> </w:t>
            </w:r>
          </w:p>
        </w:tc>
        <w:tc>
          <w:tcPr>
            <w:tcW w:w="1187"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b/>
                <w:sz w:val="20"/>
              </w:rPr>
            </w:pPr>
            <w:r>
              <w:rPr>
                <w:rFonts w:ascii="Times New Roman;Times;serif" w:hAnsi="Times New Roman;Times;serif"/>
                <w:b/>
                <w:sz w:val="20"/>
              </w:rPr>
              <w:t>13,964,667</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 (a): Direct research and development expenses consist principally of: (1) costs related to clinical trials such as payments to CRO, CDMO, investigators, and clinical trial sites that conduct the clinical studies; and (2) costs to develop the product candidates, including costs related to product testing.</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Note (b): Indirect research and development expenses are not allocated directly to each program, and primarily consist of compensation and other personnel related costs, overhead and infrastructure costs to maintain our facilities, and other costs related to activities that benefit multiple projects.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measure of segment assets is reported on the condensed consolidated balance sheets as consolidated total assets. The Group’s long-lived assets consist primarily of property, plant and equipment, net. No geographical segments are presented as a substantial portion of the Group’s long-lived assets are located in the PRC with the exception of certain laboratory and electronic equipment which are located in the U.S.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9. CONTINGENTLY REDEEMABLE CONVERTIBLE PREFERRED SHARES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2025, the Company issued 1,062,500 Series A non-voting contingently redeemable convertible preferred shares (the “Series A Preferred Shares”) to Sanofi Foreign Participations B.V. (“Sanofi B.V.”) for a net consideration of US$16,550,000 reflecting an as-converted price of US$2.0 per ADS of the Company. The issuance of the Series A Preferred Shares is the first closing in connection with a securities purchase agreement signed between the Company and Sanofi B.V., under which Sanofi B.V. has agreed to make a strategic investment of up to US$25.0 million in Adagene in two closings. The first closing was completed in July 2025. The second closing is conditioned upon the Company’s achievement of certain clinical development progress.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key features of the Series A Preferred Shares are as follows: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Holders of the Series A Preferred Shares will be entitled to receive, only when, as and if declared by the Board of Directors, a dividend on each outstanding Series A Preferred Share equal to US$0.0001 per share, prior and in preference to any declaration or payment of any dividend on ordinary shares during the same calendar year. The right to receive dividends on Series A Preferred Shares is not cumulative. Following the payment of the preferential dividend, holders of the Series A Preferred Shares have the right to participate in any dividends paid on ordinary shares, calculated on an as-if-converted basis. No other dividends shall be paid on Series A Preferred Shares.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Voting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Holders of the Series A Preferred Shares have limited voting rights. They possess a protective vote requiring majority approval to adversely change their share rights, but otherwise hold no voting rights on Company matters.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Liquidation preference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of a liquidation or deemed liquidation event, the Series A Preferred Shares carry a liquidation preference that remains in effect until the later of (i) December 31, 2027, or (ii) the public release of top-line data for ADG126. Before such date, holders of the Series A Preferred are entitled to a preferential payment per share before any distribution to ordinary shareholders. This amount is the greater of (i) the original purchase price plus any declared but unpaid dividends, or (ii) the amount they would receive if their shares were converted to ordinary shares immediately prior to the event. After receiving this full preferential amount, the holders of the Series A Preferred Shareholders do not participate in any further distributions. After such date, the holders of the Series A Preferred Shareholders participate alongside ordinary shareholders on a pro rata basis, as if their Series A Preferred Shares had been converted to ordinary shares immediately prior to the event.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Conversion</w:t>
      </w:r>
    </w:p>
    <w:p>
      <w:pPr>
        <w:pStyle w:val="TextBody"/>
        <w:bidi w:val="0"/>
        <w:spacing w:lineRule="auto" w:line="285" w:before="0" w:after="240"/>
        <w:ind w:left="0" w:right="0" w:firstLine="720"/>
        <w:jc w:val="left"/>
        <w:rPr>
          <w:rFonts w:ascii="Times New Roman;Times;serif" w:hAnsi="Times New Roman;Times;serif"/>
          <w:sz w:val="22"/>
        </w:rPr>
      </w:pPr>
      <w:r>
        <w:rPr>
          <w:rFonts w:ascii="Times New Roman;Times;serif" w:hAnsi="Times New Roman;Times;serif"/>
          <w:sz w:val="20"/>
        </w:rPr>
        <w:t>Holders of the Series A Preferred Shares have the right to convert each Series A Preferred Shares into 10</w:t>
      </w:r>
      <w:r>
        <w:rPr>
          <w:rFonts w:ascii="Times New Roman;Times;serif" w:hAnsi="Times New Roman;Times;serif"/>
          <w:sz w:val="22"/>
        </w:rPr>
        <w:t xml:space="preserve"> </w:t>
      </w:r>
      <w:r>
        <w:rPr>
          <w:rFonts w:ascii="Times New Roman;Times;serif" w:hAnsi="Times New Roman;Times;serif"/>
          <w:sz w:val="20"/>
        </w:rPr>
        <w:t>ordinary shares, subject to adjustment for share capitalizations, splits, combinations, or similar recapitalizations. The conversion is subject to a beneficial ownership limitation that generally restricts any holders of the Series A Preferred Shares (together with its affiliates) from owning more than 4.99%</w:t>
      </w:r>
      <w:r>
        <w:rPr>
          <w:rFonts w:ascii="Times New Roman;Times;serif" w:hAnsi="Times New Roman;Times;serif"/>
          <w:sz w:val="22"/>
        </w:rPr>
        <w:t xml:space="preserve"> </w:t>
      </w:r>
      <w:r>
        <w:rPr>
          <w:rFonts w:ascii="Times New Roman;Times;serif" w:hAnsi="Times New Roman;Times;serif"/>
          <w:sz w:val="20"/>
        </w:rPr>
        <w:t>of the outstanding ordinary shares post-conversion, although a holder may elect to increase this limit up to 19.99%</w:t>
      </w:r>
      <w:r>
        <w:rPr>
          <w:rFonts w:ascii="Times New Roman;Times;serif" w:hAnsi="Times New Roman;Times;serif"/>
          <w:sz w:val="22"/>
        </w:rPr>
        <w:t xml:space="preserve"> </w:t>
      </w:r>
      <w:r>
        <w:rPr>
          <w:rFonts w:ascii="Times New Roman;Times;serif" w:hAnsi="Times New Roman;Times;serif"/>
          <w:sz w:val="20"/>
        </w:rPr>
        <w:t>upon 61 days</w:t>
      </w:r>
      <w:r>
        <w:rPr>
          <w:rFonts w:ascii="Times New Roman;Times;serif" w:hAnsi="Times New Roman;Times;serif"/>
          <w:sz w:val="22"/>
        </w:rPr>
        <w:t xml:space="preserve">’ </w:t>
      </w:r>
      <w:r>
        <w:rPr>
          <w:rFonts w:ascii="Times New Roman;Times;serif" w:hAnsi="Times New Roman;Times;serif"/>
          <w:sz w:val="20"/>
        </w:rPr>
        <w:t>prior notice. All conversions are automatic, no</w:t>
      </w:r>
      <w:r>
        <w:rPr>
          <w:rFonts w:ascii="Times New Roman;Times;serif" w:hAnsi="Times New Roman;Times;serif"/>
          <w:sz w:val="22"/>
        </w:rPr>
        <w:t xml:space="preserve"> </w:t>
      </w:r>
      <w:r>
        <w:rPr>
          <w:rFonts w:ascii="Times New Roman;Times;serif" w:hAnsi="Times New Roman;Times;serif"/>
          <w:sz w:val="20"/>
        </w:rPr>
        <w:t>fractional shares are issued, and the conversion mechanics are structured as a compulsory repurchase and re-application of proceeds.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Accounting for Series A Preferred Shares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Series A Preferred Shares are classified as mezzanine equity in the condensed consolidated balance sheets because they are contingently redeemable upon the occurrence of an event outside of the Company’s control. The deemed liquidation event includes events of merger or consolidation in which (i) the Company is a constituent party, or (ii) a subsidiary of the Company is a constituent party and the Company issues ordinary shares pursuant to such merger or consolidation; and such event is not in control of the Company. The Preferred Shares are recorded at their respective issuance date fair value, net of issuance cost.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concluded that the Series A Preferred Shares were not currently redeemable, and were not probable to become redeemable as of December 31, 2025 and June 30, 2026. Consequently, no accretion charge was recorded as the redemption value was fixed to original issue price for the year ended December 31, 2025 and June 30, 2026.</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 Series A Preferred Shares were issued, converted or redeemed during the six months ended June 30, 2025 and 2026.</w:t>
      </w:r>
    </w:p>
    <w:p>
      <w:pPr>
        <w:pStyle w:val="TextBody"/>
        <w:bidi w:val="0"/>
        <w:spacing w:lineRule="auto" w:line="304" w:before="0" w:after="160"/>
        <w:ind w:left="0" w:right="0" w:firstLine="720"/>
        <w:jc w:val="both"/>
        <w:rPr/>
      </w:pPr>
      <w:r>
        <w:rPr/>
        <w:t>​</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751" w:name="Tc_yhUBdcs6Gk6lMXY3Fx8E2Q_21_0"/>
      <w:bookmarkStart w:id="752" w:name="Tc_TODozPVSwk6wTQfGw7-Szg_20_0"/>
      <w:bookmarkStart w:id="753" w:name="Tc_fY4wOMkYAEu_-aTuei92RQ_19_0"/>
      <w:bookmarkStart w:id="754" w:name="Tc_VRzYGPNGrkKXpLkh1Lgi4w_18_0"/>
      <w:bookmarkStart w:id="755" w:name="Tc_vjH3h-R5dUWSDvvvFx2UhA_17_10"/>
      <w:bookmarkStart w:id="756" w:name="Tc_esvC8HzMfEWboDADk9apkw_17_8"/>
      <w:bookmarkStart w:id="757" w:name="Tc_FQT0xBWE606gFgplIbfGqw_17_0"/>
      <w:bookmarkStart w:id="758" w:name="Tc_otgOfH0FgkiGoLWUW1AmUg_16_10"/>
      <w:bookmarkStart w:id="759" w:name="Tc_Rc0WAUJizkCFoEo9jp9dRA_16_8"/>
      <w:bookmarkStart w:id="760" w:name="Tc_mbsvNtsfn0uwQKSdJEsspA_16_0"/>
      <w:bookmarkStart w:id="761" w:name="Tc_edR98pPimUGDHoeoNreVWQ_15_10"/>
      <w:bookmarkStart w:id="762" w:name="Tc_4ag_ZjhFrESsm6ms4aUIng_15_8"/>
      <w:bookmarkStart w:id="763" w:name="Tc_oyQve3R-5ka_wqEFwvPwgQ_15_0"/>
      <w:bookmarkStart w:id="764" w:name="Tc_S9R3GSPwVkCs-g8g3VwQmQ_14_0"/>
      <w:bookmarkStart w:id="765" w:name="Tc_FsIF-bYbFkaNqnetlsbQjg_13_0"/>
      <w:bookmarkStart w:id="766" w:name="Tc_F7TqXnDvCUGmagXOKwiGjQ_12_10"/>
      <w:bookmarkStart w:id="767" w:name="Tc_zv-uXix_b0uxFgLWeD1_EQ_12_8"/>
      <w:bookmarkStart w:id="768" w:name="Tc_KqC3pJQEmU6akVMZEQzdCA_12_0"/>
      <w:bookmarkStart w:id="769" w:name="Tc_lHOAv2EprkWTWOyyokArvw_11_10"/>
      <w:bookmarkStart w:id="770" w:name="Tc_aWvPW6bA4EW9yez4sgGyfg_11_8"/>
      <w:bookmarkStart w:id="771" w:name="Tc_6bcnvRubB0GUf4vxYN65WQ_11_0"/>
      <w:bookmarkStart w:id="772" w:name="Tc_2uQuX2l1rEuKkNvhnnYccg_10_10"/>
      <w:bookmarkStart w:id="773" w:name="Tc_cte8P1c4ekqHkvzrhvBP6A_10_8"/>
      <w:bookmarkStart w:id="774" w:name="Tc_c6V07EjYFEqxilqxQl1u1A_10_0"/>
      <w:bookmarkStart w:id="775" w:name="Tc_EETGwWFmvkG0NcktqU6IiA_9_0"/>
      <w:bookmarkStart w:id="776" w:name="Tc_aQMwHxMkXkyoIjIZ5kJWXg_8_10"/>
      <w:bookmarkStart w:id="777" w:name="Tc_SZC3MAoLSkWuFlXhKNXtfA_8_8"/>
      <w:bookmarkStart w:id="778" w:name="Tc_Tl2f7I130UqrWjhV0IQ8Pg_8_6"/>
      <w:bookmarkStart w:id="779" w:name="Tc_k6sBGkOud06gtqJR_IAi2A_8_4"/>
      <w:bookmarkStart w:id="780" w:name="Tc_I04X7w9a-0m6PQ349IQ-AQ_7_6"/>
      <w:bookmarkStart w:id="781" w:name="Tc__BsYOW3uBUCozyZcED5w4w_7_4"/>
      <w:bookmarkStart w:id="782" w:name="Tc_y6qpytPFAUuYFoYH6RhXfg_6_10"/>
      <w:bookmarkStart w:id="783" w:name="Tc_rwnudERkYUuALLIvwdOT4w_6_8"/>
      <w:bookmarkStart w:id="784" w:name="Tc_p96BjOFLjUSzsyVi15Rg6A_6_6"/>
      <w:bookmarkStart w:id="785" w:name="Tc_kxarOKFYhE6PCVF_90ER1g_6_4"/>
      <w:bookmarkStart w:id="786" w:name="Tc_39MfLM8Aw0mlchLJsqdGRA_6_2"/>
      <w:bookmarkStart w:id="787" w:name="Tc_MdhtMzv6OEOvmB9RuJxS0w_5_10"/>
      <w:bookmarkStart w:id="788" w:name="Tc_FVC2EsudFEGz8WIouooNuA_5_8"/>
      <w:bookmarkStart w:id="789" w:name="Tc_oeIwFWTQhk-sjr93vhHrzg_5_6"/>
      <w:bookmarkStart w:id="790" w:name="Tc_ZG1plGNkP0-QJnjG-CBL-w_5_4"/>
      <w:bookmarkStart w:id="791" w:name="Tc_h0bdru4apkKy0qwgg33DNg_5_2"/>
      <w:bookmarkStart w:id="792" w:name="Tc_xULfpJlJp0mw_sw2_J1Kmw_4_10"/>
      <w:bookmarkStart w:id="793" w:name="Tc_tsli9N_HYEui5QxqIiPP9A_4_8"/>
      <w:bookmarkStart w:id="794" w:name="Tc_WpTs-v8FGUOrC9xQB3zX6g_4_6"/>
      <w:bookmarkStart w:id="795" w:name="Tc_guzHNcLpP0Ggbd9pYdUSxg_4_4"/>
      <w:bookmarkStart w:id="796" w:name="Tc_hlVguYv1_UKvdw7aAPdnaQ_3_8"/>
      <w:bookmarkStart w:id="797" w:name="Tc_F_V9LfYIIUmP7sfXji2Onw_3_6"/>
      <w:bookmarkStart w:id="798" w:name="Tc_ul3wKoywcEu5Alu0Fc3cHA_3_4"/>
      <w:bookmarkStart w:id="799" w:name="Tc_60Jc-u10PE6IwIV3AbLyTA_2_8"/>
      <w:bookmarkStart w:id="800" w:name="Tc_5RpDOdwKOkifvUeng4L7Qw_2_6"/>
      <w:bookmarkStart w:id="801" w:name="Tc_Xomcw6qANEmmNAdD12deIw_1_6"/>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Pr>
          <w:rFonts w:ascii="Times New Roman;Times;serif" w:hAnsi="Times New Roman;Times;serif"/>
          <w:b/>
          <w:sz w:val="20"/>
        </w:rPr>
        <w:t>10. SHARE-BASED COMPENSATION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16, 2021, the Company passed a board resolution , pursuant to which the 2021 Performance Incentive Plan (the “2021 Plan”) was adopted. Under the 2021 Plan, an aggregate of 2,994,000 ordinary shares shall be reserved for issuance, and the share limit shall automatically increase on the first trading day in January of each year (commencing with 2022) by an amount equal to (1) 5% of the total number of the Company’s outstanding ordinary shares on December 31 of the prior year, or (2) such lesser number as determined by the board of directors.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7, 2022, the Company passed a board resolution, pursuant to which the vesting schedules and conditions of 2,060,308 share options granted to certain employees were modified. Share options as to which the applicable performance milestones have been met are no longer subject to the time-based vesting requirement. The share options vested (or to be vested) for each year (commencing from 2021) shall be equal to the lesser of (i) 25% of the total number of share options of each grantee (“Annual Cap”) and (ii) the number of shares as determined by the Compensation Committee based on the extent to which any performance milestones were achieved during that year (“Credited Shares”), plus any Credited Share of earlier years that have not previously vested due to the Annual Cap. In addition, the performance milestones applicable to the share options that remain outstanding were also modified. As a result of the modification, the Company recognized an incremental fair value of US$2,337,697.</w:t>
      </w:r>
    </w:p>
    <w:p>
      <w:pPr>
        <w:pStyle w:val="TextBody"/>
        <w:bidi w:val="0"/>
        <w:spacing w:lineRule="auto" w:line="285" w:before="0" w:after="240"/>
        <w:ind w:left="0" w:right="0" w:firstLine="720"/>
        <w:jc w:val="left"/>
        <w:rPr>
          <w:rFonts w:ascii="Times New Roman;Times;serif" w:hAnsi="Times New Roman;Times;serif"/>
          <w:sz w:val="22"/>
        </w:rPr>
      </w:pPr>
      <w:r>
        <w:rPr>
          <w:rFonts w:ascii="Times New Roman;Times;serif" w:hAnsi="Times New Roman;Times;serif"/>
          <w:sz w:val="20"/>
        </w:rPr>
        <w:t>On November 17, 2024, the Company passed a board resolution, pursuant to which 2,176,945</w:t>
      </w:r>
      <w:r>
        <w:rPr>
          <w:rFonts w:ascii="Times New Roman;Times;serif" w:hAnsi="Times New Roman;Times;serif"/>
          <w:sz w:val="22"/>
        </w:rPr>
        <w:t xml:space="preserve"> </w:t>
      </w:r>
      <w:r>
        <w:rPr>
          <w:rFonts w:ascii="Times New Roman;Times;serif" w:hAnsi="Times New Roman;Times;serif"/>
          <w:sz w:val="20"/>
        </w:rPr>
        <w:t>unvested performance-based options granted to certain management members and employees were cancelled, along with concurrent grant of a replacement award. As consideration of such replacement, the Company granted the same number of time-based share options to these individuals. These time-based share options will vest 50%</w:t>
      </w:r>
      <w:r>
        <w:rPr>
          <w:rFonts w:ascii="Times New Roman;Times;serif" w:hAnsi="Times New Roman;Times;serif"/>
          <w:sz w:val="22"/>
        </w:rPr>
        <w:t xml:space="preserve"> </w:t>
      </w:r>
      <w:r>
        <w:rPr>
          <w:rFonts w:ascii="Times New Roman;Times;serif" w:hAnsi="Times New Roman;Times;serif"/>
          <w:sz w:val="20"/>
        </w:rPr>
        <w:t xml:space="preserve">per annum in </w:t>
      </w:r>
      <w:r>
        <w:rPr>
          <w:rFonts w:ascii="Times New Roman;Times;serif" w:hAnsi="Times New Roman;Times;serif"/>
          <w:b w:val="false"/>
          <w:i w:val="false"/>
          <w:caps w:val="false"/>
          <w:smallCaps w:val="false"/>
          <w:sz w:val="20"/>
        </w:rPr>
        <w:t>2025</w:t>
      </w:r>
      <w:r>
        <w:rPr>
          <w:rFonts w:ascii="Times New Roman;Times;serif" w:hAnsi="Times New Roman;Times;serif"/>
          <w:sz w:val="22"/>
        </w:rPr>
        <w:t xml:space="preserve"> </w:t>
      </w:r>
      <w:r>
        <w:rPr>
          <w:rFonts w:ascii="Times New Roman;Times;serif" w:hAnsi="Times New Roman;Times;serif"/>
          <w:sz w:val="20"/>
        </w:rPr>
        <w:t>and 2026, respectively. As a result of the modification, the Company recognized an incremental fair value of US$2,284,987</w:t>
      </w:r>
      <w:r>
        <w:rPr>
          <w:rFonts w:ascii="Times New Roman;Times;serif" w:hAnsi="Times New Roman;Times;serif"/>
          <w:sz w:val="22"/>
        </w:rPr>
        <w:t xml:space="preserve"> </w:t>
      </w:r>
      <w:r>
        <w:rPr>
          <w:rFonts w:ascii="Times New Roman;Times;serif" w:hAnsi="Times New Roman;Times;serif"/>
          <w:sz w:val="20"/>
        </w:rPr>
        <w:t>over the remaining requisite service period.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pursuant to the 2021 Plan, a total of 3,424,440 share options were granted to certain employees and external consultants, with exercise price ranging from US$1.14 to US$1.56. In addition, 23,893 ordinary shares were issued to certain employees as stock bonus during the six months ended June 30,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pursuant to the 2021 Plan, a total of 3,136,333 share options were granted to certain employees and external consultants, with exercise price ranging from US$2.03 to US$3.20.</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share options activities for the six months ended June 30, 2025 and 2026:</w:t>
      </w:r>
    </w:p>
    <w:p>
      <w:pPr>
        <w:pStyle w:val="TextBody"/>
        <w:bidi w:val="0"/>
        <w:spacing w:lineRule="auto" w:line="304" w:before="0" w:after="16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95"/>
        <w:gridCol w:w="346"/>
        <w:gridCol w:w="1036"/>
        <w:gridCol w:w="346"/>
        <w:gridCol w:w="856"/>
        <w:gridCol w:w="346"/>
        <w:gridCol w:w="856"/>
        <w:gridCol w:w="346"/>
        <w:gridCol w:w="991"/>
        <w:gridCol w:w="346"/>
        <w:gridCol w:w="1141"/>
      </w:tblGrid>
      <w:tr>
        <w:trPr/>
        <w:tc>
          <w:tcPr>
            <w:tcW w:w="3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82825" cy="175260"/>
                      <wp:effectExtent l="0" t="0" r="0" b="0"/>
                      <wp:wrapNone/>
                      <wp:docPr id="133" name="Frame123"/>
                      <a:graphic xmlns:a="http://schemas.openxmlformats.org/drawingml/2006/main">
                        <a:graphicData uri="http://schemas.microsoft.com/office/word/2010/wordprocessingShape">
                          <wps:wsp>
                            <wps:cNvSpPr txBox="1"/>
                            <wps:spPr>
                              <a:xfrm>
                                <a:off x="0" y="0"/>
                                <a:ext cx="228282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57860" cy="175260"/>
                      <wp:effectExtent l="0" t="0" r="0" b="0"/>
                      <wp:wrapNone/>
                      <wp:docPr id="135" name="Frame12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43560" cy="175260"/>
                      <wp:effectExtent l="0" t="0" r="0" b="0"/>
                      <wp:wrapNone/>
                      <wp:docPr id="137" name="Frame12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43560" cy="175260"/>
                      <wp:effectExtent l="0" t="0" r="0" b="0"/>
                      <wp:wrapNone/>
                      <wp:docPr id="139" name="Frame129"/>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29285" cy="175260"/>
                      <wp:effectExtent l="0" t="0" r="0" b="0"/>
                      <wp:wrapNone/>
                      <wp:docPr id="141" name="Frame13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24535" cy="175260"/>
                      <wp:effectExtent l="0" t="0" r="0" b="0"/>
                      <wp:wrapNone/>
                      <wp:docPr id="143" name="Frame1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noBreakHyphen/>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60"/>
              <w:ind w:left="0" w:right="0" w:hanging="0"/>
              <w:jc w:val="left"/>
              <w:rPr/>
            </w:pPr>
            <w:r>
              <w:rPr/>
              <w:t>​</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60"/>
              <w:ind w:left="0" w:right="0" w:hanging="0"/>
              <w:jc w:val="center"/>
              <w:rPr/>
            </w:pPr>
            <w:r>
              <w:rPr/>
              <w:t>​</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noBreakHyphen/>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Grant</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60"/>
              <w:ind w:left="0" w:right="0" w:hanging="0"/>
              <w:jc w:val="center"/>
              <w:rPr/>
            </w:pPr>
            <w:r>
              <w:rPr/>
              <w:t>​</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lineRule="auto" w:line="304"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lineRule="auto" w:line="304"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lineRule="auto" w:line="304"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46" w:type="dxa"/>
            <w:tcBorders/>
            <w:vAlign w:val="center"/>
          </w:tcPr>
          <w:p>
            <w:pPr>
              <w:pStyle w:val="TableContents"/>
              <w:bidi w:val="0"/>
              <w:spacing w:lineRule="auto" w:line="304"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 per</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 per</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60"/>
              <w:ind w:left="0" w:right="0" w:hanging="0"/>
              <w:jc w:val="center"/>
              <w:rPr/>
            </w:pPr>
            <w:r>
              <w:rPr/>
              <w:t>​</w:t>
            </w:r>
          </w:p>
        </w:tc>
      </w:tr>
      <w:tr>
        <w:trPr/>
        <w:tc>
          <w:tcPr>
            <w:tcW w:w="3595"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9,847,240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8.36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1,736,202</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3,424,440</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0.88</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pPr>
            <w:r>
              <w:rPr/>
              <w:t>—</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0.66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pPr>
            <w:r>
              <w:rPr/>
              <w:t>—</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(442,646)</w:t>
            </w:r>
          </w:p>
        </w:tc>
        <w:tc>
          <w:tcPr>
            <w:tcW w:w="346" w:type="dxa"/>
            <w:tcBorders/>
            <w:vAlign w:val="center"/>
          </w:tcPr>
          <w:p>
            <w:pPr>
              <w:pStyle w:val="TableContents"/>
              <w:bidi w:val="0"/>
              <w:spacing w:lineRule="auto" w:line="304"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304"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vAlign w:val="center"/>
          </w:tcPr>
          <w:p>
            <w:pPr>
              <w:pStyle w:val="TableContents"/>
              <w:bidi w:val="0"/>
              <w:spacing w:lineRule="auto" w:line="304"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2025</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12,825,784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8.40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2,046,458</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12,416,354</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1,660,307</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3,136,333</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pPr>
            <w:r>
              <w:rPr/>
              <w:t>—</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(326,933)</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pPr>
            <w:r>
              <w:rPr/>
              <w:t>—</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(105,000)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15,120,754</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7.99</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25,196,630</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Vested and expected to vest at June 30, 2026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15,120,754</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7.99</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25,196,630</w:t>
            </w:r>
          </w:p>
        </w:tc>
      </w:tr>
      <w:tr>
        <w:trPr/>
        <w:tc>
          <w:tcPr>
            <w:tcW w:w="3595"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2025</w:t>
            </w:r>
          </w:p>
        </w:tc>
        <w:tc>
          <w:tcPr>
            <w:tcW w:w="346" w:type="dxa"/>
            <w:tcBorders/>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4,863,411</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46" w:type="dxa"/>
            <w:tcBorders/>
            <w:vAlign w:val="center"/>
          </w:tcPr>
          <w:p>
            <w:pPr>
              <w:pStyle w:val="TableContents"/>
              <w:bidi w:val="0"/>
              <w:spacing w:lineRule="auto" w:line="304" w:before="0" w:after="16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759,771</w:t>
            </w:r>
          </w:p>
        </w:tc>
      </w:tr>
      <w:tr>
        <w:trPr/>
        <w:tc>
          <w:tcPr>
            <w:tcW w:w="3595"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7,301,789</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2.57</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7.02</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12,010,060</w:t>
            </w:r>
          </w:p>
        </w:tc>
      </w:tr>
    </w:tbl>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02" w:name="Tc_9n6AxXUlvkaCSHvXBQEU7w_6_0"/>
      <w:bookmarkStart w:id="803" w:name="Tc_m_gyelt9306g5xHn_nb7Rg_5_0"/>
      <w:bookmarkStart w:id="804" w:name="Tc_7N59WyHwH0qz1leh02-DFA_4_0"/>
      <w:bookmarkStart w:id="805" w:name="Tc_RnB_6lOjJECj0dSPP7AIsQ_3_4"/>
      <w:bookmarkStart w:id="806" w:name="Tc_NaV4Mc8YNUykPlBtms0Hdw_3_2"/>
      <w:bookmarkStart w:id="807" w:name="Tc_L1uRrtV-S0-5YmwCemlmsA_2_4"/>
      <w:bookmarkStart w:id="808" w:name="Tc_EDMV_9CkD0O_j-pUjoVyuA_2_2"/>
      <w:bookmarkStart w:id="809" w:name="Tc_nRyNEHGNH0Slx5q_PCbNTg_1_2"/>
      <w:bookmarkStart w:id="810" w:name="Tc_sHf4UmNsE0qrGevE8aZBTA_7_0"/>
      <w:bookmarkStart w:id="811" w:name="Tc_1ST4HrE3J0ml2LdoHpTApQ_6_4"/>
      <w:bookmarkStart w:id="812" w:name="Tc__MZ7zpcqCEabz6SHTLfdbQ_6_2"/>
      <w:bookmarkStart w:id="813" w:name="Tc_TYoOYhaWA0GiIw2fe-t9iQ_6_0"/>
      <w:bookmarkStart w:id="814" w:name="Tc_vIEssD430Eqeq8ixO26N-g_5_4"/>
      <w:bookmarkStart w:id="815" w:name="Tc_h6hVZCy6yEmF4lHGdm6-7A_5_2"/>
      <w:bookmarkStart w:id="816" w:name="Tc_UVDCV3xvkk-EcvRIjUZYyg_5_0"/>
      <w:bookmarkStart w:id="817" w:name="Tc_YTrnlHJEdk2jjpjoIfEDxw_4_0"/>
      <w:bookmarkStart w:id="818" w:name="Tc_pzFyAwGBiEW9hvgysbBAxg_3_4"/>
      <w:bookmarkStart w:id="819" w:name="Tc_m6haAkIANUC0qWLxotrSNA_3_2"/>
      <w:bookmarkStart w:id="820" w:name="Tc_3s4kcBoJHUmaxiDxaRdZlA_3_0"/>
      <w:bookmarkStart w:id="821" w:name="Tc_pdZIyVM1gk-dnCs6_x1Bzg_2_4"/>
      <w:bookmarkStart w:id="822" w:name="Tc_UAJqoR19PkOU89QwZSO7ZA_2_2"/>
      <w:bookmarkStart w:id="823" w:name="Tc_FQG5XOwGpEihL87J0b80Ew_1_2"/>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r>
        <w:rPr>
          <w:rFonts w:ascii="Times New Roman;Times;serif" w:hAnsi="Times New Roman;Times;serif"/>
          <w:sz w:val="20"/>
        </w:rPr>
        <w:t>The aggregate intrinsic value in the table above represents the difference between the exercise price of the awards and the fair value of the underlying ordinary shares at each reporting date, for those awards that had exercise price below the estimated fair value of the relevant ordinary shares.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aggregate fair value of the equity awards vested during the six months ended June 30, 2025 and 2026 was US$3,020,048 and US$2,138,449, respectively. As of June 30, 2026, the total unrecognized employee share - based compensation expense was US$6,862,141, all of which may be adjusted for actual forfeitures occurring in the future. Total unrecognized compensation cost will be recognized over a weighted - average period of 3.01 years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RSUs were vested during the six months ended June 30, 2026. The total share-based compensation expense related to the RSUs recognized for six months ended June 30, 2026 was US$242,069. As of June 30, 2026, the total unrecognized share-based compensation expense related to the RSU was US$967,481, all of which may be adjusted for actual forfeitures occurring in the future. Total unrecognized compensation cost will be recognized over a weighted average period of 2.06 years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RSUs was determined using the closing price for the Company’s ADSs, as reported by NASDAQ Global Market, of the grant date.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share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share options was determined using the binomial option valuation model, with the assistance from an independent third-party appraiser. The binomial model requires the input of highly subjective assumptions, including the expected volatility, the exercise multiple, the risk-free rate and the dividend yield. For expected volatility, the Group has made reference to historical volatility of several comparable companies in the same industry. The exercise multiple was estimated as the average ratio of the stock price to the exercise price of when employees would decide to voluntarily exercise their vested share options. The risk-free rate for periods within the contractual life of the share options is based on the market yield of U.S. Treasury Bonds in effect at the time of grant. The dividend yield is based on the expected dividend policy over the contractual life of the share options.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assumptions used to estimate the fair value of the share options granted were as follows:</w:t>
      </w:r>
    </w:p>
    <w:p>
      <w:pPr>
        <w:pStyle w:val="TextBody"/>
        <w:bidi w:val="0"/>
        <w:spacing w:lineRule="auto" w:line="285" w:before="0" w:after="240"/>
        <w:ind w:left="0" w:right="0" w:hanging="0"/>
        <w:jc w:val="left"/>
        <w:rPr/>
      </w:pPr>
      <w:r>
        <w:rPr/>
        <w:t>​</w:t>
      </w:r>
    </w:p>
    <w:tbl>
      <w:tblPr>
        <w:tblW w:w="5540" w:type="dxa"/>
        <w:jc w:val="left"/>
        <w:tblInd w:w="0" w:type="dxa"/>
        <w:tblLayout w:type="fixed"/>
        <w:tblCellMar>
          <w:top w:w="0" w:type="dxa"/>
          <w:left w:w="0" w:type="dxa"/>
          <w:bottom w:w="0" w:type="dxa"/>
          <w:right w:w="0" w:type="dxa"/>
        </w:tblCellMar>
      </w:tblPr>
      <w:tblGrid>
        <w:gridCol w:w="2191"/>
        <w:gridCol w:w="346"/>
        <w:gridCol w:w="1306"/>
        <w:gridCol w:w="346"/>
        <w:gridCol w:w="135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91285" cy="175260"/>
                      <wp:effectExtent l="0" t="0" r="0" b="0"/>
                      <wp:wrapNone/>
                      <wp:docPr id="144" name="Frame134"/>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29310" cy="175260"/>
                      <wp:effectExtent l="0" t="0" r="0" b="0"/>
                      <wp:wrapNone/>
                      <wp:docPr id="146" name="Frame136"/>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57885" cy="175260"/>
                      <wp:effectExtent l="0" t="0" r="0" b="0"/>
                      <wp:wrapNone/>
                      <wp:docPr id="148" name="Frame138"/>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300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219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30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19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Risk</w:t>
              <w:noBreakHyphen/>
              <w:t>free interest rate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0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4.24% - 4.49%</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5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4.21% - 4.5 %</w:t>
            </w:r>
          </w:p>
        </w:tc>
      </w:tr>
      <w:tr>
        <w:trPr/>
        <w:tc>
          <w:tcPr>
            <w:tcW w:w="219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lineRule="auto" w:line="304" w:before="0" w:after="160"/>
              <w:ind w:left="0" w:right="0" w:hanging="0"/>
              <w:jc w:val="left"/>
              <w:rPr/>
            </w:pPr>
            <w:r>
              <w:rPr/>
              <w:t>​</w:t>
            </w:r>
          </w:p>
        </w:tc>
        <w:tc>
          <w:tcPr>
            <w:tcW w:w="130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lineRule="auto" w:line="304" w:before="0" w:after="160"/>
              <w:ind w:left="0" w:right="0" w:hanging="0"/>
              <w:jc w:val="left"/>
              <w:rPr/>
            </w:pPr>
            <w:r>
              <w:rPr/>
              <w:t>​</w:t>
            </w:r>
          </w:p>
        </w:tc>
        <w:tc>
          <w:tcPr>
            <w:tcW w:w="135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19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Expected volatility range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0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76.4% - 77.1%</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5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76.0% - 78.6%</w:t>
            </w:r>
          </w:p>
        </w:tc>
      </w:tr>
      <w:tr>
        <w:trPr/>
        <w:tc>
          <w:tcPr>
            <w:tcW w:w="219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 multiple</w:t>
            </w:r>
          </w:p>
        </w:tc>
        <w:tc>
          <w:tcPr>
            <w:tcW w:w="346" w:type="dxa"/>
            <w:tcBorders/>
            <w:vAlign w:val="center"/>
          </w:tcPr>
          <w:p>
            <w:pPr>
              <w:pStyle w:val="TableContents"/>
              <w:bidi w:val="0"/>
              <w:spacing w:lineRule="auto" w:line="304" w:before="0" w:after="160"/>
              <w:ind w:left="0" w:right="0" w:hanging="0"/>
              <w:jc w:val="left"/>
              <w:rPr/>
            </w:pPr>
            <w:r>
              <w:rPr/>
              <w:t>​</w:t>
            </w:r>
          </w:p>
        </w:tc>
        <w:tc>
          <w:tcPr>
            <w:tcW w:w="130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2.2 - 2.8</w:t>
            </w:r>
          </w:p>
        </w:tc>
        <w:tc>
          <w:tcPr>
            <w:tcW w:w="346" w:type="dxa"/>
            <w:tcBorders/>
            <w:vAlign w:val="center"/>
          </w:tcPr>
          <w:p>
            <w:pPr>
              <w:pStyle w:val="TableContents"/>
              <w:bidi w:val="0"/>
              <w:spacing w:lineRule="auto" w:line="304" w:before="0" w:after="160"/>
              <w:ind w:left="0" w:right="0" w:hanging="0"/>
              <w:jc w:val="left"/>
              <w:rPr/>
            </w:pPr>
            <w:r>
              <w:rPr/>
              <w:t>​</w:t>
            </w:r>
          </w:p>
        </w:tc>
        <w:tc>
          <w:tcPr>
            <w:tcW w:w="1351"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2.2 - 2.8</w:t>
            </w:r>
          </w:p>
        </w:tc>
      </w:tr>
      <w:tr>
        <w:trPr/>
        <w:tc>
          <w:tcPr>
            <w:tcW w:w="219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Contractual life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0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10 years</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351"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10 years</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Total share-based compensation expenses recognized for the six months ended June 30, 2025 and 2026 were as follows:</w:t>
      </w:r>
    </w:p>
    <w:p>
      <w:pPr>
        <w:pStyle w:val="TextBody"/>
        <w:bidi w:val="0"/>
        <w:spacing w:lineRule="auto" w:line="285" w:before="0" w:after="240"/>
        <w:ind w:left="0" w:right="0" w:hanging="0"/>
        <w:jc w:val="left"/>
        <w:rPr/>
      </w:pPr>
      <w:r>
        <w:rPr/>
        <w:t>​</w:t>
      </w:r>
    </w:p>
    <w:tbl>
      <w:tblPr>
        <w:tblW w:w="6557" w:type="dxa"/>
        <w:jc w:val="left"/>
        <w:tblInd w:w="0" w:type="dxa"/>
        <w:tblLayout w:type="fixed"/>
        <w:tblCellMar>
          <w:top w:w="0" w:type="dxa"/>
          <w:left w:w="0" w:type="dxa"/>
          <w:bottom w:w="0" w:type="dxa"/>
          <w:right w:w="0" w:type="dxa"/>
        </w:tblCellMar>
      </w:tblPr>
      <w:tblGrid>
        <w:gridCol w:w="3511"/>
        <w:gridCol w:w="346"/>
        <w:gridCol w:w="1087"/>
        <w:gridCol w:w="404"/>
        <w:gridCol w:w="1209"/>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29485" cy="175260"/>
                      <wp:effectExtent l="0" t="0" r="0" b="0"/>
                      <wp:wrapNone/>
                      <wp:docPr id="149" name="Frame13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0245" cy="175260"/>
                      <wp:effectExtent l="0" t="0" r="0" b="0"/>
                      <wp:wrapNone/>
                      <wp:docPr id="151" name="Frame141"/>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6540" cy="175260"/>
                      <wp:effectExtent l="0" t="0" r="0" b="0"/>
                      <wp:wrapNone/>
                      <wp:docPr id="152" name="Frame142"/>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767715" cy="175260"/>
                      <wp:effectExtent l="0" t="0" r="0" b="0"/>
                      <wp:wrapNone/>
                      <wp:docPr id="153" name="Frame143"/>
                      <a:graphic xmlns:a="http://schemas.openxmlformats.org/drawingml/2006/main">
                        <a:graphicData uri="http://schemas.microsoft.com/office/word/2010/wordprocessingShape">
                          <wps:wsp>
                            <wps:cNvSpPr txBox="1"/>
                            <wps:spPr>
                              <a:xfrm>
                                <a:off x="0" y="0"/>
                                <a:ext cx="76771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700"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35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08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4" w:type="dxa"/>
            <w:tcBorders/>
            <w:vAlign w:val="center"/>
          </w:tcPr>
          <w:p>
            <w:pPr>
              <w:pStyle w:val="TableContents"/>
              <w:bidi w:val="0"/>
              <w:spacing w:lineRule="auto" w:line="304" w:before="0" w:after="1"/>
              <w:ind w:left="0" w:right="0" w:hanging="0"/>
              <w:jc w:val="left"/>
              <w:rPr/>
            </w:pPr>
            <w:r>
              <w:rPr/>
              <w:t>  ​ ​ ​</w:t>
            </w:r>
          </w:p>
        </w:tc>
        <w:tc>
          <w:tcPr>
            <w:tcW w:w="1209"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5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087"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04" w:type="dxa"/>
            <w:tcBorders/>
            <w:vAlign w:val="center"/>
          </w:tcPr>
          <w:p>
            <w:pPr>
              <w:pStyle w:val="TableContents"/>
              <w:bidi w:val="0"/>
              <w:spacing w:lineRule="auto" w:line="304" w:before="0" w:after="160"/>
              <w:ind w:left="0" w:right="0" w:hanging="0"/>
              <w:jc w:val="left"/>
              <w:rPr/>
            </w:pPr>
            <w:r>
              <w:rPr/>
              <w:t>​</w:t>
            </w:r>
          </w:p>
        </w:tc>
        <w:tc>
          <w:tcPr>
            <w:tcW w:w="1209"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51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8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1,393,980</w:t>
            </w:r>
          </w:p>
        </w:tc>
        <w:tc>
          <w:tcPr>
            <w:tcW w:w="404" w:type="dxa"/>
            <w:tcBorders/>
            <w:shd w:fill="CCEEFF" w:val="clear"/>
            <w:vAlign w:val="center"/>
          </w:tcPr>
          <w:p>
            <w:pPr>
              <w:pStyle w:val="TableContents"/>
              <w:bidi w:val="0"/>
              <w:spacing w:lineRule="auto" w:line="304" w:before="0" w:after="1"/>
              <w:ind w:left="0" w:right="0" w:hanging="0"/>
              <w:jc w:val="left"/>
              <w:rPr/>
            </w:pPr>
            <w:r>
              <w:rPr/>
              <w:t> </w:t>
            </w:r>
          </w:p>
        </w:tc>
        <w:tc>
          <w:tcPr>
            <w:tcW w:w="1209"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1,373,432</w:t>
            </w:r>
          </w:p>
        </w:tc>
      </w:tr>
      <w:tr>
        <w:trPr/>
        <w:tc>
          <w:tcPr>
            <w:tcW w:w="351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Administrative expenses</w:t>
            </w:r>
          </w:p>
        </w:tc>
        <w:tc>
          <w:tcPr>
            <w:tcW w:w="346" w:type="dxa"/>
            <w:tcBorders/>
            <w:vAlign w:val="center"/>
          </w:tcPr>
          <w:p>
            <w:pPr>
              <w:pStyle w:val="TableContents"/>
              <w:bidi w:val="0"/>
              <w:spacing w:lineRule="auto" w:line="304" w:before="0" w:after="1"/>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636,355</w:t>
            </w:r>
          </w:p>
        </w:tc>
        <w:tc>
          <w:tcPr>
            <w:tcW w:w="404" w:type="dxa"/>
            <w:tcBorders/>
            <w:vAlign w:val="center"/>
          </w:tcPr>
          <w:p>
            <w:pPr>
              <w:pStyle w:val="TableContents"/>
              <w:bidi w:val="0"/>
              <w:spacing w:lineRule="auto" w:line="304" w:before="0" w:after="1"/>
              <w:ind w:left="0" w:right="0" w:hanging="0"/>
              <w:jc w:val="left"/>
              <w:rPr/>
            </w:pPr>
            <w:r>
              <w:rPr/>
              <w:t> </w:t>
            </w:r>
          </w:p>
        </w:tc>
        <w:tc>
          <w:tcPr>
            <w:tcW w:w="1209"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758,326</w:t>
            </w:r>
          </w:p>
        </w:tc>
      </w:tr>
      <w:tr>
        <w:trPr/>
        <w:tc>
          <w:tcPr>
            <w:tcW w:w="351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share</w:t>
              <w:noBreakHyphen/>
              <w:t>based compensation expenses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87"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2,030,335</w:t>
            </w:r>
          </w:p>
        </w:tc>
        <w:tc>
          <w:tcPr>
            <w:tcW w:w="404" w:type="dxa"/>
            <w:tcBorders/>
            <w:shd w:fill="CCEEFF" w:val="clear"/>
            <w:vAlign w:val="center"/>
          </w:tcPr>
          <w:p>
            <w:pPr>
              <w:pStyle w:val="TableContents"/>
              <w:bidi w:val="0"/>
              <w:spacing w:lineRule="auto" w:line="304" w:before="0" w:after="1"/>
              <w:ind w:left="0" w:right="0" w:hanging="0"/>
              <w:jc w:val="left"/>
              <w:rPr/>
            </w:pPr>
            <w:r>
              <w:rPr/>
              <w:t> </w:t>
            </w:r>
          </w:p>
        </w:tc>
        <w:tc>
          <w:tcPr>
            <w:tcW w:w="1209"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2,131,758</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11. WARRANT LIABILITIES</w:t>
      </w:r>
    </w:p>
    <w:p>
      <w:pPr>
        <w:pStyle w:val="TextBody"/>
        <w:bidi w:val="0"/>
        <w:spacing w:lineRule="auto" w:line="285" w:before="0" w:after="120"/>
        <w:ind w:left="0" w:right="0" w:firstLine="720"/>
        <w:jc w:val="left"/>
        <w:rPr>
          <w:rFonts w:ascii="Times New Roman;Times;serif" w:hAnsi="Times New Roman;Times;serif"/>
          <w:sz w:val="20"/>
        </w:rPr>
      </w:pPr>
      <w:r>
        <w:rPr>
          <w:rFonts w:ascii="Times New Roman;Times;serif" w:hAnsi="Times New Roman;Times;serif"/>
          <w:sz w:val="20"/>
        </w:rPr>
        <w:t>In July and September 2025, the Company issued warrants to a consultant at nil cash consideration as compensation for the consultant’s services in the field of investor relations and business development services. The warrants allowed the holder to subscribe for and purchase from the Company up to 1,000,000 shares of ordinary shares of the Company at an exercise price of US$4.0 per ordinary share (US$5.0 per ADS). The warrants are exercisable, in whole or in part, at any time from the initial exercise dates until the earlier of (i) the termination dates, or (ii) the occurrence of a fundamental transaction, which refers to events such as mergers, sales of substantially all assets, change of control transactions, or major recapitalizations that fundamentally alter the Company’s structure or ownership. The warrants shall be automatically exercised on the termination dates or immediately prior to the consummation of a fundamental transaction.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24" w:name="Tc_ikFVvTcZE0CXQl6AMYgZTA_9_0"/>
      <w:bookmarkStart w:id="825" w:name="Tc_BDmM0KqKvki0teA2dd_Ovg_8_4"/>
      <w:bookmarkStart w:id="826" w:name="Tc_vYtxs2F3E0CHwg-tSt4fkA_8_2"/>
      <w:bookmarkStart w:id="827" w:name="Tc_p1BVBqIBsUCyVkNx2H5XvA_8_0"/>
      <w:bookmarkStart w:id="828" w:name="Tc_A4CanqelIkernUyVWwK5lA_7_4"/>
      <w:bookmarkStart w:id="829" w:name="Tc_mMHd29n050uIOIz8hefOhg_7_2"/>
      <w:bookmarkStart w:id="830" w:name="Tc_NgPmcjqDw0yAOqWBki7YnQ_7_0"/>
      <w:bookmarkStart w:id="831" w:name="Tc_94Vd9YyVGUmV9Bf0MuhNHA_6_4"/>
      <w:bookmarkStart w:id="832" w:name="Tc_dvjsLY9nJkqtRlDonpJh3g_6_2"/>
      <w:bookmarkStart w:id="833" w:name="Tc_0pkgglmxD0uCkh6k1dui2w_6_0"/>
      <w:bookmarkStart w:id="834" w:name="Tc_RBtPMrce5kq7OrwjaR4i6A_5_4"/>
      <w:bookmarkStart w:id="835" w:name="Tc_CBiEwupIQU2oOBcZJW-Bvg_5_2"/>
      <w:bookmarkStart w:id="836" w:name="Tc_RAX3BWVS5UqgApemTxAIHA_5_0"/>
      <w:bookmarkStart w:id="837" w:name="Tc_UiR6j8YYUUOKbubUeu1FjQ_4_4"/>
      <w:bookmarkStart w:id="838" w:name="Tc_kkVK-I-qQEuD83aEKM0Uhg_4_2"/>
      <w:bookmarkStart w:id="839" w:name="Tc_9HMMyn4LBEK_zrrWK-X17g_3_4"/>
      <w:bookmarkStart w:id="840" w:name="Tc_3zyCB79uwkymb7loHj2ebg_3_2"/>
      <w:bookmarkStart w:id="841" w:name="Tc_vDLExIUFeUu7SWAz7_SUWw_2_4"/>
      <w:bookmarkStart w:id="842" w:name="Tc_eAJzMwtmDEKhDF9v7aX0Rg_2_2"/>
      <w:bookmarkStart w:id="843" w:name="Tc_W5VCBXEf1UijOnTa2mjYoQ_1_4"/>
      <w:bookmarkStart w:id="844" w:name="Tc_ETsG-ZDa4kuZY-H4g6vesA_1_2"/>
      <w:bookmarkStart w:id="845" w:name="Tc_1nqp9Lwgr0qlw5y32Xh5Sw_9_0"/>
      <w:bookmarkStart w:id="846" w:name="Tc_cYioOLEMSUmyov4JzemlBQ_8_0"/>
      <w:bookmarkStart w:id="847" w:name="Tc_IWfIpi4AGUWuBuc6fsRA5A_7_6"/>
      <w:bookmarkStart w:id="848" w:name="Tc_bPDxKYBwlUeyYzG_NiH3eA_7_4"/>
      <w:bookmarkStart w:id="849" w:name="Tc_qTxyT5qc10iTnbm-_xpH-w_7_2"/>
      <w:bookmarkStart w:id="850" w:name="Tc_9YGVP1a-tkWLDOqMkGkyRA_7_0"/>
      <w:bookmarkStart w:id="851" w:name="Tc_2y73uB1wzUqk8XwJ2HJoHg_6_6"/>
      <w:bookmarkStart w:id="852" w:name="Tc_daka53VUUE-F_w6_8x-B4Q_6_4"/>
      <w:bookmarkStart w:id="853" w:name="Tc_mZ0lC2emOkGkkiJO3LgZdw_6_2"/>
      <w:bookmarkStart w:id="854" w:name="Tc_lgXO0eMuTkKkJpka_4cBZA_6_0"/>
      <w:bookmarkStart w:id="855" w:name="Tc_6AATw7wOpkWPGOIoUZeTyA_5_0"/>
      <w:bookmarkStart w:id="856" w:name="Tc_alTIZ5_9ZEOEFCn0CW4Dng_4_4"/>
      <w:bookmarkStart w:id="857" w:name="Tc_p6fb7Qg-Wkq7ntebYGIbgg_3_6"/>
      <w:bookmarkStart w:id="858" w:name="Tc_TQqVS9Xlc0a6jSJolo0FEQ_3_4"/>
      <w:bookmarkStart w:id="859" w:name="Tc_yrqj2vLlc0y99-7hOICLrA_2_6"/>
      <w:bookmarkStart w:id="860" w:name="Tc_hbdxlCZ7l0me6AdFGLXREA_2_4"/>
      <w:bookmarkStart w:id="861" w:name="Tc_B4nbKMtPGkeI9ef5RY89wA_2_2"/>
      <w:bookmarkStart w:id="862" w:name="Tc_-lfzgcpltEO9AmbpuOcDVQ_1_6"/>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sz w:val="20"/>
        </w:rPr>
        <w:t xml:space="preserve">The warrants are freestanding instruments and classified as liabilities in accordance with ASC 480, </w:t>
      </w:r>
      <w:r>
        <w:rPr>
          <w:rFonts w:ascii="Times New Roman;Times;serif" w:hAnsi="Times New Roman;Times;serif"/>
          <w:i/>
          <w:sz w:val="20"/>
        </w:rPr>
        <w:t>Distinguishing Liabilities from Equity</w:t>
      </w:r>
      <w:r>
        <w:rPr>
          <w:rFonts w:ascii="Times New Roman;Times;serif" w:hAnsi="Times New Roman;Times;serif"/>
          <w:sz w:val="20"/>
        </w:rPr>
        <w:t>. The warrants are initially recognized at fair value, with subsequent changes in fair value recorded currently in earnings. The Company recognized losses from the increase in fair value of the warrants of US$973,556 for the six months ended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activities in warrants for the six months ended June 30, 2026:</w:t>
      </w:r>
    </w:p>
    <w:p>
      <w:pPr>
        <w:pStyle w:val="TextBody"/>
        <w:bidi w:val="0"/>
        <w:spacing w:lineRule="auto" w:line="304" w:before="0" w:after="160"/>
        <w:ind w:left="0" w:right="0" w:hanging="0"/>
        <w:jc w:val="left"/>
        <w:rPr/>
      </w:pPr>
      <w:r>
        <w:rPr/>
        <w:t>​</w:t>
      </w:r>
    </w:p>
    <w:tbl>
      <w:tblPr>
        <w:tblW w:w="8422" w:type="dxa"/>
        <w:jc w:val="left"/>
        <w:tblInd w:w="0" w:type="dxa"/>
        <w:tblLayout w:type="fixed"/>
        <w:tblCellMar>
          <w:top w:w="0" w:type="dxa"/>
          <w:left w:w="0" w:type="dxa"/>
          <w:bottom w:w="0" w:type="dxa"/>
          <w:right w:w="0" w:type="dxa"/>
        </w:tblCellMar>
      </w:tblPr>
      <w:tblGrid>
        <w:gridCol w:w="2941"/>
        <w:gridCol w:w="346"/>
        <w:gridCol w:w="1636"/>
        <w:gridCol w:w="346"/>
        <w:gridCol w:w="1261"/>
        <w:gridCol w:w="346"/>
        <w:gridCol w:w="154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67535" cy="175260"/>
                      <wp:effectExtent l="0" t="0" r="0" b="0"/>
                      <wp:wrapNone/>
                      <wp:docPr id="154" name="Frame144"/>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038860" cy="175260"/>
                      <wp:effectExtent l="0" t="0" r="0" b="0"/>
                      <wp:wrapNone/>
                      <wp:docPr id="156" name="Frame14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800735" cy="175260"/>
                      <wp:effectExtent l="0" t="0" r="0" b="0"/>
                      <wp:wrapNone/>
                      <wp:docPr id="158" name="Frame14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81710" cy="175260"/>
                      <wp:effectExtent l="0" t="0" r="0" b="0"/>
                      <wp:wrapNone/>
                      <wp:docPr id="160" name="Frame15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6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261"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54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w:t>
            </w:r>
          </w:p>
        </w:tc>
      </w:tr>
      <w:tr>
        <w:trPr/>
        <w:tc>
          <w:tcPr>
            <w:tcW w:w="29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Number of Warrants</w:t>
            </w:r>
          </w:p>
        </w:tc>
        <w:tc>
          <w:tcPr>
            <w:tcW w:w="346" w:type="dxa"/>
            <w:tcBorders/>
            <w:vAlign w:val="center"/>
          </w:tcPr>
          <w:p>
            <w:pPr>
              <w:pStyle w:val="TableContents"/>
              <w:bidi w:val="0"/>
              <w:spacing w:lineRule="auto" w:line="304" w:before="0" w:after="16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lineRule="auto" w:line="304" w:before="0" w:after="160"/>
              <w:ind w:left="0" w:right="0" w:hanging="0"/>
              <w:jc w:val="center"/>
              <w:rPr/>
            </w:pPr>
            <w:r>
              <w:rPr/>
              <w:t>​</w:t>
            </w:r>
          </w:p>
        </w:tc>
        <w:tc>
          <w:tcPr>
            <w:tcW w:w="154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Remaining Life</w:t>
            </w:r>
          </w:p>
        </w:tc>
      </w:tr>
      <w:tr>
        <w:trPr/>
        <w:tc>
          <w:tcPr>
            <w:tcW w:w="29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6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26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US$per </w:t>
            </w:r>
          </w:p>
        </w:tc>
        <w:tc>
          <w:tcPr>
            <w:tcW w:w="346" w:type="dxa"/>
            <w:tcBorders/>
            <w:vAlign w:val="center"/>
          </w:tcPr>
          <w:p>
            <w:pPr>
              <w:pStyle w:val="TableContents"/>
              <w:bidi w:val="0"/>
              <w:spacing w:lineRule="auto" w:line="304" w:before="0" w:after="1"/>
              <w:ind w:left="0" w:right="0" w:hanging="0"/>
              <w:jc w:val="center"/>
              <w:rPr/>
            </w:pPr>
            <w:r>
              <w:rPr/>
              <w:t>  ​ ​ ​</w:t>
            </w:r>
          </w:p>
        </w:tc>
        <w:tc>
          <w:tcPr>
            <w:tcW w:w="154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94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636" w:type="dxa"/>
            <w:tcBorders/>
            <w:vAlign w:val="center"/>
          </w:tcPr>
          <w:p>
            <w:pPr>
              <w:pStyle w:val="TableContents"/>
              <w:bidi w:val="0"/>
              <w:spacing w:lineRule="auto" w:line="304" w:before="0" w:after="160"/>
              <w:ind w:left="0" w:right="0" w:hanging="0"/>
              <w:jc w:val="center"/>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26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Ordinary Share</w:t>
            </w:r>
          </w:p>
        </w:tc>
        <w:tc>
          <w:tcPr>
            <w:tcW w:w="346" w:type="dxa"/>
            <w:tcBorders/>
            <w:vAlign w:val="center"/>
          </w:tcPr>
          <w:p>
            <w:pPr>
              <w:pStyle w:val="TableContents"/>
              <w:bidi w:val="0"/>
              <w:spacing w:lineRule="auto" w:line="304" w:before="0" w:after="160"/>
              <w:ind w:left="0" w:right="0" w:hanging="0"/>
              <w:jc w:val="center"/>
              <w:rPr/>
            </w:pPr>
            <w:r>
              <w:rPr/>
              <w:t>​</w:t>
            </w:r>
          </w:p>
        </w:tc>
        <w:tc>
          <w:tcPr>
            <w:tcW w:w="1546" w:type="dxa"/>
            <w:tcBorders/>
            <w:vAlign w:val="center"/>
          </w:tcPr>
          <w:p>
            <w:pPr>
              <w:pStyle w:val="TableContents"/>
              <w:bidi w:val="0"/>
              <w:spacing w:lineRule="auto" w:line="304" w:before="0" w:after="160"/>
              <w:ind w:left="0" w:right="0" w:hanging="0"/>
              <w:jc w:val="center"/>
              <w:rPr/>
            </w:pPr>
            <w:r>
              <w:rPr/>
              <w:t>​</w:t>
            </w:r>
          </w:p>
        </w:tc>
      </w:tr>
      <w:tr>
        <w:trPr/>
        <w:tc>
          <w:tcPr>
            <w:tcW w:w="294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63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6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4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294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lineRule="auto" w:line="304" w:before="0" w:after="1"/>
              <w:ind w:left="0" w:right="0" w:hanging="0"/>
              <w:jc w:val="left"/>
              <w:rPr/>
            </w:pPr>
            <w:r>
              <w:rPr/>
              <w:t> </w:t>
            </w:r>
          </w:p>
        </w:tc>
        <w:tc>
          <w:tcPr>
            <w:tcW w:w="1636"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261" w:type="dxa"/>
            <w:tcBorders/>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546" w:type="dxa"/>
            <w:tcBorders/>
            <w:vAlign w:val="center"/>
          </w:tcPr>
          <w:p>
            <w:pPr>
              <w:pStyle w:val="TableContents"/>
              <w:bidi w:val="0"/>
              <w:spacing w:lineRule="auto" w:line="304" w:before="0" w:after="1"/>
              <w:ind w:left="0" w:right="0" w:hanging="0"/>
              <w:jc w:val="right"/>
              <w:rPr/>
            </w:pPr>
            <w:r>
              <w:rPr/>
              <w:t>—</w:t>
            </w:r>
          </w:p>
        </w:tc>
      </w:tr>
      <w:tr>
        <w:trPr/>
        <w:tc>
          <w:tcPr>
            <w:tcW w:w="294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63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4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pPr>
            <w:r>
              <w:rPr/>
              <w:t>—</w:t>
            </w:r>
          </w:p>
        </w:tc>
      </w:tr>
      <w:tr>
        <w:trPr/>
        <w:tc>
          <w:tcPr>
            <w:tcW w:w="294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vAlign w:val="center"/>
          </w:tcPr>
          <w:p>
            <w:pPr>
              <w:pStyle w:val="TableContents"/>
              <w:bidi w:val="0"/>
              <w:spacing w:lineRule="auto" w:line="304" w:before="0" w:after="1"/>
              <w:ind w:left="0" w:right="0" w:hanging="0"/>
              <w:jc w:val="left"/>
              <w:rPr/>
            </w:pPr>
            <w:r>
              <w:rPr/>
              <w:t> </w:t>
            </w:r>
          </w:p>
        </w:tc>
        <w:tc>
          <w:tcPr>
            <w:tcW w:w="163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vAlign w:val="center"/>
          </w:tcPr>
          <w:p>
            <w:pPr>
              <w:pStyle w:val="TableContents"/>
              <w:bidi w:val="0"/>
              <w:spacing w:lineRule="auto" w:line="304" w:before="0" w:after="1"/>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lineRule="auto" w:line="304" w:before="0" w:after="1"/>
              <w:ind w:left="0" w:right="0" w:hanging="0"/>
              <w:jc w:val="left"/>
              <w:rPr/>
            </w:pPr>
            <w:r>
              <w:rPr/>
              <w:t> </w:t>
            </w:r>
          </w:p>
        </w:tc>
        <w:tc>
          <w:tcPr>
            <w:tcW w:w="1546"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294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63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1,000,000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2.10</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measured the warrant liabilities at fair values on a recurring basis using significant unobservable inputs (Level 3) for the year ended December 31, 2025 and six months ended June 30, 2026. The Group used the binomial option pricing model to estimate the fair value of warrant liabilities as of December 31, 2025 and June 30, 2026 using the following assumptions:</w:t>
      </w:r>
    </w:p>
    <w:p>
      <w:pPr>
        <w:pStyle w:val="TextBody"/>
        <w:bidi w:val="0"/>
        <w:spacing w:lineRule="auto" w:line="304" w:before="0" w:after="160"/>
        <w:ind w:left="0" w:right="0" w:hanging="0"/>
        <w:jc w:val="left"/>
        <w:rPr/>
      </w:pPr>
      <w:r>
        <w:rPr/>
        <w:t>​</w:t>
      </w:r>
    </w:p>
    <w:tbl>
      <w:tblPr>
        <w:tblW w:w="6476" w:type="dxa"/>
        <w:jc w:val="left"/>
        <w:tblInd w:w="0" w:type="dxa"/>
        <w:tblLayout w:type="fixed"/>
        <w:tblCellMar>
          <w:top w:w="0" w:type="dxa"/>
          <w:left w:w="0" w:type="dxa"/>
          <w:bottom w:w="0" w:type="dxa"/>
          <w:right w:w="0" w:type="dxa"/>
        </w:tblCellMar>
      </w:tblPr>
      <w:tblGrid>
        <w:gridCol w:w="2761"/>
        <w:gridCol w:w="346"/>
        <w:gridCol w:w="1516"/>
        <w:gridCol w:w="146"/>
        <w:gridCol w:w="1516"/>
        <w:gridCol w:w="19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753235" cy="175260"/>
                      <wp:effectExtent l="0" t="0" r="0" b="0"/>
                      <wp:wrapNone/>
                      <wp:docPr id="161" name="Frame15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962660" cy="175260"/>
                      <wp:effectExtent l="0" t="0" r="0" b="0"/>
                      <wp:wrapNone/>
                      <wp:docPr id="163" name="Frame15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2710" cy="175260"/>
                      <wp:effectExtent l="0" t="0" r="0" b="0"/>
                      <wp:wrapNone/>
                      <wp:docPr id="164" name="Frame15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962660" cy="175260"/>
                      <wp:effectExtent l="0" t="0" r="0" b="0"/>
                      <wp:wrapNone/>
                      <wp:docPr id="165" name="Frame15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1285" cy="175260"/>
                      <wp:effectExtent l="0" t="0" r="0" b="0"/>
                      <wp:wrapNone/>
                      <wp:docPr id="166" name="Frame15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1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c>
          <w:tcPr>
            <w:tcW w:w="191" w:type="dxa"/>
            <w:tcBorders/>
            <w:vAlign w:val="center"/>
          </w:tcPr>
          <w:p>
            <w:pPr>
              <w:pStyle w:val="TableContents"/>
              <w:bidi w:val="0"/>
              <w:spacing w:lineRule="auto" w:line="304" w:before="0" w:after="1"/>
              <w:ind w:left="0" w:right="0" w:hanging="0"/>
              <w:jc w:val="left"/>
              <w:rPr/>
            </w:pPr>
            <w:r>
              <w:rPr/>
              <w:t> </w:t>
            </w:r>
          </w:p>
        </w:tc>
      </w:tr>
      <w:tr>
        <w:trPr/>
        <w:tc>
          <w:tcPr>
            <w:tcW w:w="27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1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191" w:type="dxa"/>
            <w:tcBorders/>
            <w:vAlign w:val="center"/>
          </w:tcPr>
          <w:p>
            <w:pPr>
              <w:pStyle w:val="TableContents"/>
              <w:bidi w:val="0"/>
              <w:spacing w:lineRule="auto" w:line="304" w:before="0" w:after="1"/>
              <w:ind w:left="0" w:right="0" w:hanging="0"/>
              <w:jc w:val="left"/>
              <w:rPr/>
            </w:pPr>
            <w:r>
              <w:rPr/>
              <w:t> </w:t>
            </w:r>
          </w:p>
        </w:tc>
      </w:tr>
      <w:tr>
        <w:trPr/>
        <w:tc>
          <w:tcPr>
            <w:tcW w:w="27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lineRule="auto" w:line="304" w:before="0" w:after="1"/>
              <w:ind w:left="0" w:right="0" w:hanging="0"/>
              <w:jc w:val="left"/>
              <w:rPr/>
            </w:pPr>
            <w:r>
              <w:rPr/>
              <w:t> </w:t>
            </w:r>
          </w:p>
        </w:tc>
      </w:tr>
      <w:tr>
        <w:trPr/>
        <w:tc>
          <w:tcPr>
            <w:tcW w:w="27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lineRule="auto" w:line="304"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lineRule="auto" w:line="304" w:before="0" w:after="1"/>
              <w:ind w:left="0" w:right="0" w:hanging="0"/>
              <w:jc w:val="left"/>
              <w:rPr/>
            </w:pPr>
            <w:r>
              <w:rPr/>
              <w:t> </w:t>
            </w:r>
          </w:p>
        </w:tc>
      </w:tr>
      <w:tr>
        <w:trPr/>
        <w:tc>
          <w:tcPr>
            <w:tcW w:w="276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3.51% - 3.52%</w:t>
            </w:r>
          </w:p>
        </w:tc>
        <w:tc>
          <w:tcPr>
            <w:tcW w:w="1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4.14%</w:t>
            </w:r>
          </w:p>
        </w:tc>
        <w:tc>
          <w:tcPr>
            <w:tcW w:w="191" w:type="dxa"/>
            <w:tcBorders/>
            <w:shd w:fill="CCEEFF" w:val="clear"/>
            <w:vAlign w:val="center"/>
          </w:tcPr>
          <w:p>
            <w:pPr>
              <w:pStyle w:val="TableContents"/>
              <w:bidi w:val="0"/>
              <w:spacing w:lineRule="auto" w:line="304" w:before="0" w:after="160"/>
              <w:ind w:left="0" w:right="0" w:hanging="0"/>
              <w:jc w:val="left"/>
              <w:rPr/>
            </w:pPr>
            <w:r>
              <w:rPr/>
              <w:t>​</w:t>
            </w:r>
          </w:p>
        </w:tc>
      </w:tr>
      <w:tr>
        <w:trPr/>
        <w:tc>
          <w:tcPr>
            <w:tcW w:w="276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Exercise price per ordinary share</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US$4.00</w:t>
            </w:r>
          </w:p>
        </w:tc>
        <w:tc>
          <w:tcPr>
            <w:tcW w:w="146" w:type="dxa"/>
            <w:tcBorders/>
            <w:vAlign w:val="center"/>
          </w:tcPr>
          <w:p>
            <w:pPr>
              <w:pStyle w:val="TableContents"/>
              <w:bidi w:val="0"/>
              <w:spacing w:lineRule="auto" w:line="304" w:before="0" w:after="160"/>
              <w:ind w:left="0" w:right="0" w:hanging="0"/>
              <w:jc w:val="left"/>
              <w:rPr/>
            </w:pPr>
            <w:r>
              <w:rPr/>
              <w:t>​</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US$4.00</w:t>
            </w:r>
          </w:p>
        </w:tc>
        <w:tc>
          <w:tcPr>
            <w:tcW w:w="191" w:type="dxa"/>
            <w:tcBorders/>
            <w:vAlign w:val="center"/>
          </w:tcPr>
          <w:p>
            <w:pPr>
              <w:pStyle w:val="TableContents"/>
              <w:bidi w:val="0"/>
              <w:spacing w:lineRule="auto" w:line="304" w:before="0" w:after="160"/>
              <w:ind w:left="0" w:right="0" w:hanging="0"/>
              <w:jc w:val="left"/>
              <w:rPr/>
            </w:pPr>
            <w:r>
              <w:rPr/>
              <w:t>​</w:t>
            </w:r>
          </w:p>
        </w:tc>
      </w:tr>
      <w:tr>
        <w:trPr/>
        <w:tc>
          <w:tcPr>
            <w:tcW w:w="276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Expected volatility range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59.60% - 60.05%</w:t>
            </w:r>
          </w:p>
        </w:tc>
        <w:tc>
          <w:tcPr>
            <w:tcW w:w="1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67.73% - 68.46%</w:t>
            </w:r>
          </w:p>
        </w:tc>
        <w:tc>
          <w:tcPr>
            <w:tcW w:w="191" w:type="dxa"/>
            <w:tcBorders/>
            <w:shd w:fill="CCEEFF" w:val="clear"/>
            <w:vAlign w:val="center"/>
          </w:tcPr>
          <w:p>
            <w:pPr>
              <w:pStyle w:val="TableContents"/>
              <w:bidi w:val="0"/>
              <w:spacing w:lineRule="auto" w:line="304" w:before="0" w:after="160"/>
              <w:ind w:left="0" w:right="0" w:hanging="0"/>
              <w:jc w:val="left"/>
              <w:rPr/>
            </w:pPr>
            <w:r>
              <w:rPr/>
              <w:t>​</w:t>
            </w:r>
          </w:p>
        </w:tc>
      </w:tr>
      <w:tr>
        <w:trPr/>
        <w:tc>
          <w:tcPr>
            <w:tcW w:w="276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Term of warrants</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2.5 - 2.7 years</w:t>
            </w:r>
          </w:p>
        </w:tc>
        <w:tc>
          <w:tcPr>
            <w:tcW w:w="146" w:type="dxa"/>
            <w:tcBorders/>
            <w:vAlign w:val="center"/>
          </w:tcPr>
          <w:p>
            <w:pPr>
              <w:pStyle w:val="TableContents"/>
              <w:bidi w:val="0"/>
              <w:spacing w:lineRule="auto" w:line="304" w:before="0" w:after="160"/>
              <w:ind w:left="0" w:right="0" w:hanging="0"/>
              <w:jc w:val="left"/>
              <w:rPr/>
            </w:pPr>
            <w:r>
              <w:rPr/>
              <w:t>​</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2.0 - 2.2 years</w:t>
            </w:r>
          </w:p>
        </w:tc>
        <w:tc>
          <w:tcPr>
            <w:tcW w:w="191" w:type="dxa"/>
            <w:tcBorders/>
            <w:vAlign w:val="center"/>
          </w:tcPr>
          <w:p>
            <w:pPr>
              <w:pStyle w:val="TableContents"/>
              <w:bidi w:val="0"/>
              <w:spacing w:lineRule="auto" w:line="304" w:before="0" w:after="160"/>
              <w:ind w:left="0" w:right="0" w:hanging="0"/>
              <w:jc w:val="left"/>
              <w:rPr/>
            </w:pPr>
            <w:r>
              <w:rPr/>
              <w:t>​</w:t>
            </w:r>
          </w:p>
        </w:tc>
      </w:tr>
      <w:tr>
        <w:trPr/>
        <w:tc>
          <w:tcPr>
            <w:tcW w:w="276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1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shd w:fill="CCEEFF" w:val="clear"/>
            <w:vAlign w:val="center"/>
          </w:tcPr>
          <w:p>
            <w:pPr>
              <w:pStyle w:val="TableContents"/>
              <w:bidi w:val="0"/>
              <w:spacing w:lineRule="auto" w:line="304" w:before="0" w:after="1"/>
              <w:ind w:left="0" w:right="0" w:hanging="0"/>
              <w:jc w:val="center"/>
              <w:rPr>
                <w:rFonts w:ascii="Times New Roman;Times;serif" w:hAnsi="Times New Roman;Times;serif"/>
                <w:sz w:val="20"/>
              </w:rPr>
            </w:pPr>
            <w:r>
              <w:rPr>
                <w:rFonts w:ascii="Times New Roman;Times;serif" w:hAnsi="Times New Roman;Times;serif"/>
                <w:sz w:val="20"/>
              </w:rPr>
              <w:t>0%</w:t>
            </w:r>
          </w:p>
        </w:tc>
        <w:tc>
          <w:tcPr>
            <w:tcW w:w="191" w:type="dxa"/>
            <w:tcBorders/>
            <w:shd w:fill="CCEEFF" w:val="clear"/>
            <w:vAlign w:val="center"/>
          </w:tcPr>
          <w:p>
            <w:pPr>
              <w:pStyle w:val="TableContents"/>
              <w:bidi w:val="0"/>
              <w:spacing w:lineRule="auto" w:line="304" w:before="0" w:after="160"/>
              <w:ind w:left="0" w:right="0" w:hanging="0"/>
              <w:jc w:val="left"/>
              <w:rPr/>
            </w:pPr>
            <w:r>
              <w:rPr/>
              <w:t>​</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12. COLLABORATION ARRANGEMENTS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Guilin Sanjin Pharmaceutical Co., Ltd. License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2018, the Group entered into (i) a collaboration agreement (the “Sanjin Greater China Agreement”) that covers Greater China with Guilin Sanjin Pharmaceutical Co., Ltd. (“Sanjin”) and certain of its subsidiaries (collectively, “Sanjin Parties”) and (ii) a collaboration agreement (the “Sanjin ROW Agreement”, together with the Sanjin Greater China Agreement, the “2018 Sanjin Agreements”) that covers the regions other than Greater China with Sanjin. Pursuant to the Sanjin Greater China Agreement, the Group licensed the Chinese intellectual property directly related to a monospecific antibody molecule that binds to the PD-L1 target (the “PD-L1 Project”), including patent rights, patent application rights and technologies based on the core sequence of the molecule, to Sanjin Parties. Sanjin Parties will own all the Chinese intellectual property developed in the exercise of Sanjin Parties’ rights under the agreement, including but not limited to improvements (including combination products), clinical trials, regulatory filings, and commercialization rights relating thereto. The Group also granted Sanjin Parties a royalty-free license to use our other existing intellectual property and improvements thereto which are related to the PD-L1 Project for the purposes of exploiting its rights and performing its obligations under the agreement. Sanjin Parties will enjoy all the economic benefits deriving from the PD-L1 Project in Greater China, including but not limited to patent transfer fee, licensing fee, sales revenue and sales commission, etc. Sanjin Parties will pay the Group (i) single-digit percentage of net sales of the products that use the licensed antibody after such products enter the market and (ii) a low to mid-low double-digit percentage of the profits resulting from any transfer of the license to any third parties depending on the timing of the transfer relative to the development stage of the product. Prior to 2023, the Group received RMB10,000,000 (equivalent to approximately US$1,511,168) upfront fee upon the effectiveness of the agreement from Sanjin Parties, which was recognized as revenue as the performance obligation was satisfied by the Group. No additional revenue related to this agreement has been recognized during the six months ended June 30, 2025 and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Sanjin ROW Agreement, the Group granted Sanjin a royalty-free license to use all intellectual property relating to (i) the collaboration under the agreement that the Group controlled before the Group entered into the agreement or acquired independently of the agreement and (ii) improvements thereto for the purposes of exploiting its rights and performing its obligations under the agreement. Any intellectual property generated independently by a party under the agreement will be solely owned by that party who generated such intellectual property, and any intellectual property generated from cooperation between the Group and Sanjin’s affiliates in connection with the collaboration will be jointly owned. The Group retain the ownership of patent rights of key intellectual property pertaining to PD-L1 outside of the Greater China. In addition, all the results obtained by Sanjin relating to the research and development of any new antibody developed under the agreement will be owned by Sanjin. The Group retain a majority of the economic benefits derived from the Sanjin ROW Agreement, including but not limited to any patent transfer fee, licensing fee and gains realized under such transfer. In case the Group intend to transfer to a third party our share of economic interests in any country outside of Greater China, the Group must notify Sanjin and Sanjin will receive a right of first refusal if it pays the Group a deposit equal to a low double-digit percentage of the consideration that the Group expect to receive from such third party. If Sanjin waives the right of first refusal, the Group can proceed with the transfer, provided that the final transaction price with the third party is not lower than the amount of the offering price that was included in the Group’s notice to Sanjin.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Group agreed not to (i) independently develop any monospecific antibodies that bind to the PD-L1 target or (ii) grant any rights associated with such antibodies to any third parties during the </w:t>
      </w:r>
      <w:r>
        <w:rPr>
          <w:rFonts w:ascii="Times New Roman;Times;serif" w:hAnsi="Times New Roman;Times;serif"/>
          <w:b w:val="false"/>
          <w:i w:val="false"/>
          <w:caps w:val="false"/>
          <w:smallCaps w:val="false"/>
          <w:sz w:val="20"/>
        </w:rPr>
        <w:t>three-year</w:t>
      </w:r>
      <w:r>
        <w:rPr>
          <w:rFonts w:ascii="Times New Roman;Times;serif" w:hAnsi="Times New Roman;Times;serif"/>
          <w:sz w:val="20"/>
        </w:rPr>
        <w:t xml:space="preserve"> period from the effective date of the agreement. The exclusivity obligation does not prevent the Group from (i) developing or granting any licenses to third parties for intellectual property that covers bispecific antibodies, ADCs, diagnostic antibodies, nano-particles and masked antibody against PD-L1 target and (ii) continuing to provide antibody screening service that were commenced before the execution of the Sanjin Greater China Agreement and either party has the independent right to conduct combination therapy studies outside of the Greater China. Either non-breaching party may terminate the 2018 Sanjin Agreements if the other party’s ability to comply with its respective obligations under the agreements is negatively affected by contingencies such as failure to maintain operation or changes in core project management and the other party fails to take effective remedial measures. Each agreement automatically terminates upon the termination of the other agreement. Upon the rescission or termination, Sanjin Parties will return to the Group all the intellectual property, documents and data provided by the Group under the 2018 Sanjin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the failure of the development of the product candidate solely arises from the Group’s research and development basis specified under this agreement, Sanjin has the right to claim back all the payment made to the Group. The Group considers the possibility of occurrence of such event is remote.</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Dragon Boat Biopharmaceutical (Shanghai) Limited License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May 2019, the Group entered into (i) a collaboration agreement that covers Greater China (the “Dragon Boat Greater China Agreement”) and (ii) a collaboration agreement that covers the regions other than Greater China (the “Dragon Boat ROW Agreement,” together with the Dragon Boat Greater China Agreement, the “2019 Dragon Boat Agreements”), with Dragon Boat Biopharmaceutical (Shanghai) Limited (“Dragon Boat”), a subsidiary of Sanjin. Pursuant to the Dragon Boat Greater China Agreement, the Group will license the Chinese intellectual property directly related to a certain monospecific antibody molecule that binds to a specified target (the “Specified Project”), including the patent rights, patent application rights and technologies based on the core sequence of the molecule, to Dragon Boat. Dragon Boat will own all the Chinese intellectual property developed in the exercise of Dragon Boat’s rights under the agreement, including but not limited to improvements (including combination products), clinical trials, regulatory filings, and commercialization rights relating thereto. The Group also granted Dragon Boat a royalty-free license to use our other existing intellectual property and improvements thereto which are related to the Specified Project for the purposes of exploiting its rights and performing its obligations under the agreement. Dragon Boat will enjoy all the economic benefits deriving from the Specified Project in Greater China, including but not limited to patent transfer fee, licensing fee, sales revenue and sales commission, etc. and will pay the Group (i) certain high-six figure dollar milestone payments upon the achievement of certain milestones (including milestones of launch of pre-clinical safety evaluation animal test, obtaining Investigational New Drug (“IND”) approval in PRC and completion of clinical phase I test in PRC) and (ii) a single-digit percentage of net sales of the products that use the licensed antibody after such products enter the market.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Dragon Boat ROW Agreement, the Group granted Dragon Boat a royalty-free license to use all intellectual property relating to (i) the collaboration under the agreement that the Group controlled before the Group entered into the agreement or acquired independently of the agreement and (ii) improvements thereto for the purposes of exploiting its rights and performing its obligations under the agreement. Any intellectual property generated independently by a party under the agreement will be solely owned by that party who generated such intellectual property, and any intellectual property generated from cooperation between the Group and Dragon Boat in connection with the collaboration will be jointly owned. The Group retain the ownership of patent rights of key intellectual property pertaining to the specified target outside of the Greater China. In addition, all the results obtained by Dragon Boat relating to the research and development of any new antibody developed under the agreement will be owned by Dragon Boat. The Group retains a majority of the economic benefits derived from the Dragon Boat ROW Agreement, including but not limited to any patent transfer fee, licensing fee and gains realized under such transfer. In case the Group intend to transfer to a third party our share of economic interests in any country outside of Greater China, the Group must notify Dragon Boat and Dragon Boat will receive a right of first refusal if it pays the Group a deposit equal to a low double-digit percentage of the consideration that the Group expects to receive from such third party. If Dragon Boat waives the right of first refusal, the Group can proceed with the transfer, provided that the final transaction price with the third party is not lower than the amount of the offering price that was included in our notice to Dragon Boat.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2019 Dragon Boat Agreements, the Group agreed not to (i) independently develop any monospecific antibodies that bind to the specified target or (ii) grant any rights associated with such antibodies to any third parties during the three-year period from the effective date of the agreements. The exclusivity obligation does not prevent the Group from (i) developing or granting any licenses to third parties for intellectual property that covers bispecific antibodies, ADCs, diagnostic antibodies, nano-particles and masked antibody against the specific target and (ii) continuing to provide antibody screening service that were commenced before the execution of the Dragon Boat Greater China Agreement and either party has the independent right to conduct combination therapy studies outside of the Greater China. Either nonbreaching party may terminate the 2019 Dragon Boat Agreements if the other party’s ability to comply with its obligations under the agreements is negatively affected by contingencies such as failure to maintain operation or changes in core project management and the other party fails to take effective remedial measures. Each agreement automatically terminates upon the termination of the other agreement. Upon the rescission or termination, Dragon Boat will return to the Group all the intellectual property, documents and data provided by the Group under the 2019 Dragon Boat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event that the failure of the development of the product candidate solely arises from the Group’s research and development basis specified under this agreement, Dragon Boat has the right to claim back all the payment made to the Group. The risk of failure is considered remote upon recognition of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Prior to 2025, the Group received upfront fee of RMB4,000,000 received, and milestone fee of RMB4,000,000, which were recognized as licensing revenue as the performance obligation was satisfied by the Group and certain milestone events were achieved.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additional revenue was recognized for the six months ended June 30, 2025 and 2026.</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Exelixis, Inc.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February 2021, the Group entered into a collaboration and license agreement (the “Exelixis Agreement”) with Exelixis, Inc. (“Exelixis”), pursuant to which the Group agreed to generate masked antibodies with its SAFEbody technology against an initial target selected and a second target to be selected by Exelixis. The Group will generate masked antibodies in the form of alternative compounds in accordance with the program plan for each target at its own cost and deliver the related data packages to Exelixis. Exelixis will select lead compounds (the “Lead Compounds”) to further develop, obtain regulatory approval and commercialize product(s) for each target (the “Products under the Exelixis Agreement”). Under the Exelixis Agreement, the Group will also grant Exelixis an exclusive, worldwide, sublicensable license (the “Adagene License”) upon delivery of the data package to research, develop, make, have made, sell, offer for sale, import and commercialize products containing the masked antibodies to be generated by the Group with respect to both targets. Exelixis will own the inventions relating to the Lead Compounds arising in connection with the Exelixis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Exelixis Agreement will remain effective until the expiration of the defined royalty terms of the Products under the Exelixis Agreement, unless terminated by either party. Exelixis may terminate the Exelixis Agreement for any or no reason, in its entirety or on a target-by-target basis. Any payment received by the Group before the termination shall be non-refundable.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Exelixis Agreement, Exelixis agreed to pay the Group an upfront non-refundable fee of US$11,000,000. For each target, the Group will be eligible to receive up to US$127,500,000 of milestone payments conditioned upon achieving certain development and regulatory approval milestones, and up to $262,500,000 of sales-based milestone payments. In addition, the Group is also entitled to royalties of mid-single-digit percentage in respect of the aggregate annual net sales of the products developed under the Exelixis Agreement worldwide, subject to certain reductions.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April 2022, the Group entered in a letter agreement (the “Exelixis Letter Agreement”) in reference to the Exelixis Agreement with Exelixis for expanded collaboration in SAFEbody discovery. Under the Exelixis Letter Agreement, the Group will generate additional masked antibodies against the target selected by Exelixis per the Exelixis Agreement. Exelixis agreed to pay the Group an additional upfront non-refundable fee of US$1,100,000.</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September 2025, the Group entered into an amendment to the Exelixis Agreement (the “Exelixis Amendment”). Under the Exelixis Amendment, the Group will generate a masked monoclonal antibody utilizing the SAFEbody technology for an additional target selected by Exelixis. The Group is eligible to receive development and commercialization milestones and royalties on net sales of products developed around this third target, in terms similar to the Exelixis Agreement. Exelixis agreed to pay the project fee for the generation of the additional antibody in two installments, one upon execution of the Exelixis Amendment, and the other upon delivery of the data package for this third target to Exelixis, subject to receipt of the applicable invoices from the Group. The Group received the first installment payment in 2025.</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determined that generating masked antibodies with its SAFEbody technology is reflective of a vendor-customer relationship and therefore within the scope of ASC 606. Under the Exelixis Agreement, the delivery of data packages for each target, along with the Adagene License used to develop the related compounds, represents one performance obligation, as they are not distinct from each other. Transaction price is allocated to each one of the two performance obligations using the relative standalone selling price method. The Group records revenue at a point in time, when the data packages for each target were delivered to Exelixis. Considering that the development, regulatory and sales-based milestone payments and the royalties are constrained, the transaction price shall initially only include upfront payment and the milestone payments that are considered probable. Subsequently, once the uncertainty associated with the milestone payments is resolved, the milestone payments shall be included in the total transaction price when it is no longer probable that a significant reversal of cumulative revenue would occur in future periods. The sales-based royalty and sales-based milestones promised in exchange for the Adagene License granted are recognized when (or as) the later of (1) the subsequent sale or usage occurs, or (2) the performance obligation to which some or all of the sales-based royalty or sales-based milestones being allocated has been satisfied (or partially satisfied). Under the Exelixis Amendment, the delivery of data packages for the third target, along with the Adagene License used to develop the related compounds, represents one performance obligation. Revenue will be recognized at a point in time upon delivery of the data package for the third target for the same reasons as discussed above.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Prior to 2025, the Group received US$11,000,000 upfront payment upon execution of the Exelixis Agreement, US$1,100,000 upfront payment under the Exelixis Letter Agreement, milestone fee of US$3,000,000 related to the successful nomination of lead SAFEbody candidates for the initial target under the Exelixis Agreement, and another milestone fee of US$3,000,000 related to the successful nomination of lead SAFEbody candidates for the second target under the Exelixis Agreement. All of the upfront payments and milestone fees were recognized as revenue upon delivery of data packages and achievement of the milestone event for the initial target under the Exelixis Agreement in 2021 and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additional revenue was recognized during the six months ended June 30, 2025. For the six months ended June 30, 2026, the Group recognized US$340,000 of revenue at a point in time upon completion of certain side projects for Exelixis.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Sanofi Agreement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2022, the Group entered into a collaboration and license agreement (the “Sanofi Agreement”) with Genzyme Corporation, a wholly-owned subsidiary of Sanofi (“Sanofi”), pursuant to which the Group agreed to perform early-stage research activities to develop masked versions of Sanofi candidate antibodies (each a “Target”, and together, “Targets”), using the Group’s SAFEbody technology for development and commercialization by Sanofi. Sanofi has the ability to advance two initial Targets in the collaboration, followed by an option for two additional Targets. The Group will generate masked antibodies in the form of customized compounds and complete the compound research activities in accordance with the program plan for each Target at its own cost and deliver the compounds and related data packages to Sanofi. Sanofi is solely responsible for later stage research and all clinical, product development and commercialization activities. Under the Sanofi Agreement, the Group granted Sanofi an exclusive, worldwide, sublicensable license to research, develop, use, make, have made, sell, offer for sale, import and commercialize products containing the masked antibodies to be generated by the Group.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Sanofi Agreement will remain effective until the expiration of the defined royalty on a product-by-product and country-by-country basis, unless terminated earlier with cause or by mutual agreements of both parties. Sanofi may terminate the Sanofi Agreement without cause, in its entirety, or on a Target-by-Target or country-by-country basis.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Sanofi Agreement, Sanofi agreed to pay the Group an upfront non-refundable fee of US$17,500,000 in consideration of the license granted and the early-stage research activities to generate the compounds. Sanofi is obligated to pay an additional fee if Sanofi exercises the option for additional Targets. For each Target, the Group will be eligible to receive up to US$173,500,000 of milestone payments conditioned upon achieving certain development and regulatory approval milestones, and up to $450,000,000 of sales-based milestone payments. In addition, the Group is also entitled to royalties of mid-single-digit percentage in respect of the aggregate annual net sales of the products developed under the Sanofi Agreement worldwide, subject to certain reductions.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2025, the Group entered into an amended and restated agreement with Sanofi (the “Amended Sanofi Agreement”), under which, Sanofi exercised its option to select an additional Target for further development. The Group will generate masked antibodies and complete the compound research activities in accordance with a program plan for this third Target. Sanofi has the right to initiate one additional research program for one additional Target for a fee. Sanofi also has the one-time right to replace the third Target and each additional Target added pursuant to the option right for additional costs. In addition to the option exercise fee, the Group is also eligible to receive development and sales-based milestones and royalties on net sales of products developed around the third Target.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determined that this collaboration is more reflective of a vendor-customer relationship and therefore within the scope of ASC 606. Under the Sanofi Agreement, the performance of early-stage research activities to develop compounds for each Target, along with the grant of the license, represents one performance obligation, as they are not distinct from each other. Transaction price is allocated to each one of the two performance obligations based on the relative standalone selling price. Since the early-stage research activities does not generate an asset for alternative use and the Group has an enforceable right to the upfront payment, the Group records revenue over time using labor hour as the input to assess the satisfaction of the performance obligations. Considering that the development, regulatory and sales-based milestone payments and the royalties are constrained, the transaction price shall initially only include upfront payment and the milestone payments that are considered probable. Subsequently, once the uncertainty associated with the milestone payments is resolved, the milestone payments shall be included in the total transaction price when it is no longer probable that a significant reversal of cumulative revenue would occur in future periods. The sales-based royalty and sales-based milestones promised in exchange for the license granted are recognized when (or as) the later of (1) the subsequent sale or usage occurs, or (2) the performance obligation to which some or all of the sales-based royalty or sales-based milestones being allocated has been satisfied (or partially satisfied). Under the Amended Sanofi Agreement, the performance of early-stage research activities to develop compounds for the third Target, along with the grant of the license, represents one additional performance obligation. Revenue will be recognized over time using labor hour as the input to assess the satisfaction of the performance obligation for the same reasons as discussed above.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Prior to 2025, the Group received US$17,500,000 upfront payment under the Sanofi Agreement. 100% of the upfront payment was recognized as revenue over time using the input method in 2022 and 2023.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2025, no additional revenue was recognized.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late 2025, the Group received the option exercise payment under the Amended Sanofi Agreement. The option exercise payment was recognized as revenue over time using the input method. The revenue recognized during the six months ended June 30, 2026 was US$1,279,913.</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ConjugateBio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2025, the Group entered into a license agreement (the “ConjugateBio Agreement”) with ConjugateBio Inc. (“ConjugateBio”), pursuant to which the Group agreed to grant an exclusive license of its proprietary antibody to ConjugateBio. ConjugateBio will use the antibody and the associated license for the development, manufacture and commercialization of compounds and pharmaceutical products containing or comprising the compounds. ConjugateBio has the sole right and responsibility, at its sole cost and expense, for the development and commercialization of the pharmaceutical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ConjugateBio Agreement will remain effective until the expiration of the defined royalty term on a product-by-product and country-by-country basis, unless terminated earlier with cause or by mutual agreements of both parties.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ConjugateBio Agreement, ConjugateBio agreed to pay the Group a one-time, non-refundable, non-creditable upfront payment in consideration of the antibody provided and the license granted. On a compound-by-compound and/or product-by-product basis, the Group will be eligible to receive milestone payments conditioned upon achieving certain development, clinical and regulatory approval milestones, and sales-based milestone payments. In addition, the Group is also entitled to royalties in respect of the aggregate annual net sales of the products developed, subject to certain reductions.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determined that the provision of the antibody and the grant of the license are reflective of a vendor-customer relationship and therefore within the scope of ASC 606. Under the ConjugateBio Agreement, the provision of the antibody, along with the license used to develop the related compounds, represents one performance obligation, as they are not distinct from each other. The Group records revenue at a point in time, when the antibody is delivered to ConjugateBio as the license is considered a functional IP that gives ConjugateBio the right to use the IP. Considering that the development, clinical, regulatory and sales-based milestone payments and the royalties are constrained, the transaction price shall initially only include upfront payment and the milestone payments that are considered probable. Subsequently, once the uncertainty associated with the milestone payments is resolved, the milestone payments shall be included in the total transaction price when it is no longer probable that a significant reversal of cumulative revenue would occur in future periods. The sales-based royalty and sales-based milestones promised in exchange for the license granted are recognized when (or as) the later of (1) the subsequent sale or usage occurs, or (2) the performance obligation to which some or all of the sales-based royalty or sales-based milestones being allocated has been satisfied (or partially satisfied).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2025, the Group received the upfront payment under the ConjugateBio Agreement. The upfront payment was recognized as revenue at a point in time upon provision of the antibody to ConjugateBio in 2025. No additional revenue was recognized during the six months ended June 30, 2026.</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Third Arc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the Group entered into a license agreement (the “Third Arc Agreement”) with Third Arc Bio, Inc. (“Third Arc”), pursuant to which the Group agreed to grant an exclusive license on a molecule specific license to Third Arc to use the Group’s SAFEbody technology for a masked CD3 for the research, development, manufacture, commercialization and other exploitation of licensed compounds and licensed products worldwide. Third Arc has the sole right and decision-making authority, at its sole cost and expense, for the development and commercialization of the licensed compounds and products.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has an option from Third Arc for an exclusive license to develop and commercialize for specific licensed products in Greater China, Singapore and South Korea. If the Group exercises the option, the Group and Third Arc shall enter into a separate agreement governing the Group’s manufacture and summarization of the specific licensed products in the specific territory.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Third Arc Agreement will remain effective until the expiration of the defined royalty term on a licensed product-by-product and country-by-country basis, unless terminated earlier with cause or by mutual agreements of both parties.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Third Arc Agreement, Third Arc agreed to pay the Group a one-time, non-refundable, non-creditable upfront payment of US$5,000,000 in consideration of the license granted. The Group will be eligible to receive milestone payments conditioned upon achieving certain development and commercial-based milestone payments of up to USD$840,000,000 if all milestones and conditions are achieved. In addition, the Group is also entitled to royalties in respect of the aggregate annual net sales of the products developed, subject to certain reductions.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determined that the grant of the license in the form of sequence data is reflective of a vendor-customer relationship and therefore within the scope of ASC 606. The Group records revenue at a point in time, when the sequence data is delivered to Third Arc as the license is considered a functional IP that gives Third Arc the right to use the IP. Considering that the development and commercial-based milestone payments and the royalties are constrained, the transaction price shall initially only include upfront payment and the milestone payments that are considered probable. Subsequently, once the uncertainty associated with the milestone payments is resolved, the milestone payments shall be included in the total transaction price when it is no longer probable that a significant reversal of cumulative revenue would occur in future periods. The sales-based royalty and commercial-based milestones promised in exchange for the license granted are recognized when (or as) the later of (1) the subsequent sale or usage occurs, or (2) the performance obligation to which some or all of the sales-based royalty or commercial-based milestones being allocated has been satisfied (or partially satisfied).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2025, the Group received US$5,000,000 upfront payment under the Third Arc Agreement. The upfront payment was recognized as revenue at a point in time upon provision of the sequence data to Third Arc in 2025. No additional revenue was recognized during the six months ended June 30, 2026.</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63" w:name="Tc_zrmBbT2x7kyFn2cCspMGsg_6_5"/>
      <w:bookmarkStart w:id="864" w:name="Tc_n9ozHLyM4UWKdvoXnxDgWw_6_3"/>
      <w:bookmarkStart w:id="865" w:name="Tc_T6XR9gtLaEGeSfCZd-qqcg_6_0"/>
      <w:bookmarkStart w:id="866" w:name="Tc_bVpKLffLc0C6sw6WuIKMRw_5_0"/>
      <w:bookmarkStart w:id="867" w:name="Tc_E5yns4FnaEKPuyI7jTCa-A_4_0"/>
      <w:bookmarkStart w:id="868" w:name="Tc_JmX02yG3XE6Fmnkb96LtiQ_3_4"/>
      <w:bookmarkStart w:id="869" w:name="Tc_l3swbs72uEqC_7SUcklxeg_3_2"/>
      <w:bookmarkStart w:id="870" w:name="Tc_DpTUVM5faEqxjvoSEvnhyw_2_4"/>
      <w:bookmarkStart w:id="871" w:name="Tc__R6NQKz4xkew_yz5FI5L1A_2_2"/>
      <w:bookmarkStart w:id="872" w:name="Tc_81J2V_kgdkGnSyNSosvxiw_1_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b/>
          <w:sz w:val="20"/>
        </w:rPr>
        <w:t>13. INCOME TAX BENFIT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income tax benefit (expense) and the effective income tax rate resulting from operations were as follows:</w:t>
      </w:r>
    </w:p>
    <w:p>
      <w:pPr>
        <w:pStyle w:val="TextBody"/>
        <w:bidi w:val="0"/>
        <w:spacing w:lineRule="auto" w:line="304" w:before="0" w:after="160"/>
        <w:ind w:left="0" w:right="0" w:hanging="0"/>
        <w:jc w:val="left"/>
        <w:rPr/>
      </w:pPr>
      <w:r>
        <w:rPr/>
        <w:t>​</w:t>
      </w:r>
    </w:p>
    <w:tbl>
      <w:tblPr>
        <w:tblW w:w="5796" w:type="dxa"/>
        <w:jc w:val="left"/>
        <w:tblInd w:w="0" w:type="dxa"/>
        <w:tblLayout w:type="fixed"/>
        <w:tblCellMar>
          <w:top w:w="0" w:type="dxa"/>
          <w:left w:w="0" w:type="dxa"/>
          <w:bottom w:w="0" w:type="dxa"/>
          <w:right w:w="0" w:type="dxa"/>
        </w:tblCellMar>
      </w:tblPr>
      <w:tblGrid>
        <w:gridCol w:w="2461"/>
        <w:gridCol w:w="346"/>
        <w:gridCol w:w="1156"/>
        <w:gridCol w:w="361"/>
        <w:gridCol w:w="1156"/>
        <w:gridCol w:w="316"/>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62735" cy="175260"/>
                      <wp:effectExtent l="0" t="0" r="0" b="0"/>
                      <wp:wrapNone/>
                      <wp:docPr id="167" name="Frame157"/>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34060" cy="175260"/>
                      <wp:effectExtent l="0" t="0" r="0" b="0"/>
                      <wp:wrapNone/>
                      <wp:docPr id="169" name="Frame15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9235" cy="175260"/>
                      <wp:effectExtent l="0" t="0" r="0" b="0"/>
                      <wp:wrapNone/>
                      <wp:docPr id="170" name="Frame1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34060" cy="175260"/>
                      <wp:effectExtent l="0" t="0" r="0" b="0"/>
                      <wp:wrapNone/>
                      <wp:docPr id="171" name="Frame16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0660" cy="175260"/>
                      <wp:effectExtent l="0" t="0" r="0" b="0"/>
                      <wp:wrapNone/>
                      <wp:docPr id="172" name="Frame16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67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24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lineRule="auto" w:line="304" w:before="0" w:after="1"/>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24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61" w:type="dxa"/>
            <w:tcBorders/>
            <w:vAlign w:val="center"/>
          </w:tcPr>
          <w:p>
            <w:pPr>
              <w:pStyle w:val="TableContents"/>
              <w:bidi w:val="0"/>
              <w:spacing w:lineRule="auto" w:line="304" w:before="0" w:after="160"/>
              <w:ind w:left="0" w:right="0" w:hanging="0"/>
              <w:jc w:val="left"/>
              <w:rPr/>
            </w:pPr>
            <w:r>
              <w:rPr/>
              <w:t>​</w:t>
            </w:r>
          </w:p>
        </w:tc>
        <w:tc>
          <w:tcPr>
            <w:tcW w:w="11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246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Loss before income tax</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(13,476,782)</w:t>
            </w:r>
          </w:p>
        </w:tc>
        <w:tc>
          <w:tcPr>
            <w:tcW w:w="361"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(16,446,848)</w:t>
            </w:r>
          </w:p>
        </w:tc>
        <w:tc>
          <w:tcPr>
            <w:tcW w:w="316" w:type="dxa"/>
            <w:tcBorders/>
            <w:shd w:fill="CCEEFF" w:val="clear"/>
            <w:vAlign w:val="center"/>
          </w:tcPr>
          <w:p>
            <w:pPr>
              <w:pStyle w:val="TableContents"/>
              <w:bidi w:val="0"/>
              <w:spacing w:lineRule="auto" w:line="304" w:before="0" w:after="1"/>
              <w:ind w:left="0" w:right="0" w:hanging="0"/>
              <w:jc w:val="left"/>
              <w:rPr/>
            </w:pPr>
            <w:r>
              <w:rPr/>
              <w:t> </w:t>
            </w:r>
          </w:p>
        </w:tc>
      </w:tr>
      <w:tr>
        <w:trPr/>
        <w:tc>
          <w:tcPr>
            <w:tcW w:w="246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lineRule="auto" w:line="304" w:before="0" w:after="1"/>
              <w:ind w:left="0" w:right="0" w:hanging="0"/>
              <w:jc w:val="left"/>
              <w:rPr/>
            </w:pPr>
            <w:r>
              <w:rPr/>
              <w:t> </w:t>
            </w:r>
          </w:p>
        </w:tc>
        <w:tc>
          <w:tcPr>
            <w:tcW w:w="11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61" w:type="dxa"/>
            <w:tcBorders/>
            <w:vAlign w:val="center"/>
          </w:tcPr>
          <w:p>
            <w:pPr>
              <w:pStyle w:val="TableContents"/>
              <w:bidi w:val="0"/>
              <w:spacing w:lineRule="auto" w:line="304" w:before="0" w:after="1"/>
              <w:ind w:left="0" w:right="0" w:hanging="0"/>
              <w:jc w:val="left"/>
              <w:rPr/>
            </w:pPr>
            <w:r>
              <w:rPr/>
              <w:t> </w:t>
            </w:r>
          </w:p>
        </w:tc>
        <w:tc>
          <w:tcPr>
            <w:tcW w:w="11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68,016</w:t>
            </w:r>
          </w:p>
        </w:tc>
        <w:tc>
          <w:tcPr>
            <w:tcW w:w="316" w:type="dxa"/>
            <w:tcBorders/>
            <w:vAlign w:val="center"/>
          </w:tcPr>
          <w:p>
            <w:pPr>
              <w:pStyle w:val="TableContents"/>
              <w:bidi w:val="0"/>
              <w:spacing w:lineRule="auto" w:line="304" w:before="0" w:after="1"/>
              <w:ind w:left="0" w:right="0" w:hanging="0"/>
              <w:jc w:val="left"/>
              <w:rPr/>
            </w:pPr>
            <w:r>
              <w:rPr/>
              <w:t> </w:t>
            </w:r>
          </w:p>
        </w:tc>
      </w:tr>
      <w:tr>
        <w:trPr/>
        <w:tc>
          <w:tcPr>
            <w:tcW w:w="246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Effective income tax rate</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6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1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change in the effective income tax rate for the six months ended June 30, 2026 compared with the six months ended June 30, 2025 is primarily due to changes to tax credits claimed, amount of loss before income tax and jurisdictional mix of loss before income tax.</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73" w:name="Tc_tlUMqDaLx0qDK5sDOTVmVQ_9_0"/>
      <w:bookmarkStart w:id="874" w:name="Tc_o4IEQJMZAkWO0YWl720QhQ_8_0"/>
      <w:bookmarkStart w:id="875" w:name="Tc_ubRTNhyVSUuoaZXt7TIFjA_7_0"/>
      <w:bookmarkStart w:id="876" w:name="Tc_E0Rs5TzMP0KCEzKfW45g_Q_6_0"/>
      <w:bookmarkStart w:id="877" w:name="Tc_J8LbCcfMS06-WuMho2eV0g_5_0"/>
      <w:bookmarkStart w:id="878" w:name="Tc_UnLQX1-zDUmfQboO0laKJg_4_0"/>
      <w:bookmarkStart w:id="879" w:name="Tc_71O_kubVG0uO_F7CXmhqNQ_3_4"/>
      <w:bookmarkStart w:id="880" w:name="Tc_SuUKsSYYLk-e4f9Rc8BqBA_3_2"/>
      <w:bookmarkStart w:id="881" w:name="Tc_7_mrNxdwQkiWUAq4LhwKRQ_2_4"/>
      <w:bookmarkStart w:id="882" w:name="Tc_iCp07fo1k0GKQfzlY2DikA_2_2"/>
      <w:bookmarkStart w:id="883" w:name="Tc_DwaDVZnJtk6Cx9qk_keDBw_1_2"/>
      <w:bookmarkStart w:id="884" w:name="_43474ecd_a9fc_4643_b784_8fb59816f063"/>
      <w:bookmarkEnd w:id="873"/>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b/>
          <w:sz w:val="20"/>
        </w:rPr>
        <w:t>14. NET LOSS PER SHARE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Basic and diluted net loss per share for the six months ended June 30, 2025 and 2026 were calculated as follows:</w:t>
      </w:r>
    </w:p>
    <w:p>
      <w:pPr>
        <w:pStyle w:val="TextBody"/>
        <w:bidi w:val="0"/>
        <w:spacing w:lineRule="auto" w:line="285" w:before="0" w:after="240"/>
        <w:ind w:left="0" w:right="0" w:hanging="0"/>
        <w:jc w:val="left"/>
        <w:rPr/>
      </w:pPr>
      <w:r>
        <w:rPr/>
        <w:t>​</w:t>
      </w:r>
    </w:p>
    <w:tbl>
      <w:tblPr>
        <w:tblW w:w="9410" w:type="dxa"/>
        <w:jc w:val="left"/>
        <w:tblInd w:w="0" w:type="dxa"/>
        <w:tblLayout w:type="fixed"/>
        <w:tblCellMar>
          <w:top w:w="0" w:type="dxa"/>
          <w:left w:w="0" w:type="dxa"/>
          <w:bottom w:w="0" w:type="dxa"/>
          <w:right w:w="0" w:type="dxa"/>
        </w:tblCellMar>
      </w:tblPr>
      <w:tblGrid>
        <w:gridCol w:w="6361"/>
        <w:gridCol w:w="346"/>
        <w:gridCol w:w="1156"/>
        <w:gridCol w:w="346"/>
        <w:gridCol w:w="1201"/>
      </w:tblGrid>
      <w:tr>
        <w:trPr/>
        <w:tc>
          <w:tcPr>
            <w:tcW w:w="6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039235" cy="175260"/>
                      <wp:effectExtent l="0" t="0" r="0" b="0"/>
                      <wp:wrapNone/>
                      <wp:docPr id="173" name="Frame163"/>
                      <a:graphic xmlns:a="http://schemas.openxmlformats.org/drawingml/2006/main">
                        <a:graphicData uri="http://schemas.microsoft.com/office/word/2010/wordprocessingShape">
                          <wps:wsp>
                            <wps:cNvSpPr txBox="1"/>
                            <wps:spPr>
                              <a:xfrm>
                                <a:off x="0" y="0"/>
                                <a:ext cx="40392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34060" cy="175260"/>
                      <wp:effectExtent l="0" t="0" r="0" b="0"/>
                      <wp:wrapNone/>
                      <wp:docPr id="175" name="Frame16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62635" cy="175260"/>
                      <wp:effectExtent l="0" t="0" r="0" b="0"/>
                      <wp:wrapNone/>
                      <wp:docPr id="177" name="Frame16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63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703"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63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6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36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15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left"/>
              <w:rPr/>
            </w:pPr>
            <w:r>
              <w:rPr/>
              <w:t>  ​ ​ ​</w:t>
            </w:r>
          </w:p>
        </w:tc>
        <w:tc>
          <w:tcPr>
            <w:tcW w:w="120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36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shd w:fill="CCEEFF" w:val="clear"/>
            <w:vAlign w:val="center"/>
          </w:tcPr>
          <w:p>
            <w:pPr>
              <w:pStyle w:val="TableContents"/>
              <w:bidi w:val="0"/>
              <w:spacing w:lineRule="auto" w:line="304" w:before="0" w:after="1"/>
              <w:ind w:left="0" w:right="0" w:hanging="0"/>
              <w:jc w:val="right"/>
              <w:rPr/>
            </w:pPr>
            <w:r>
              <w:rPr/>
              <w:t>  ​</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shd w:fill="CCEEFF" w:val="clear"/>
            <w:vAlign w:val="center"/>
          </w:tcPr>
          <w:p>
            <w:pPr>
              <w:pStyle w:val="TableContents"/>
              <w:bidi w:val="0"/>
              <w:spacing w:lineRule="auto" w:line="304" w:before="0" w:after="1"/>
              <w:ind w:left="0" w:right="0" w:hanging="0"/>
              <w:jc w:val="right"/>
              <w:rPr/>
            </w:pPr>
            <w:r>
              <w:rPr/>
              <w:t>  ​</w:t>
            </w:r>
          </w:p>
        </w:tc>
      </w:tr>
      <w:tr>
        <w:trPr/>
        <w:tc>
          <w:tcPr>
            <w:tcW w:w="636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Adagene Inc.’s shareholders</w:t>
            </w:r>
          </w:p>
        </w:tc>
        <w:tc>
          <w:tcPr>
            <w:tcW w:w="346" w:type="dxa"/>
            <w:tcBorders/>
            <w:vAlign w:val="center"/>
          </w:tcPr>
          <w:p>
            <w:pPr>
              <w:pStyle w:val="TableContents"/>
              <w:bidi w:val="0"/>
              <w:spacing w:lineRule="auto" w:line="304" w:before="0" w:after="1"/>
              <w:ind w:left="0" w:right="0" w:hanging="0"/>
              <w:jc w:val="left"/>
              <w:rPr/>
            </w:pPr>
            <w:r>
              <w:rPr/>
              <w:t> </w:t>
            </w:r>
          </w:p>
        </w:tc>
        <w:tc>
          <w:tcPr>
            <w:tcW w:w="11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(13,477,240)</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(16,378,832)</w:t>
            </w:r>
          </w:p>
        </w:tc>
      </w:tr>
      <w:tr>
        <w:trPr/>
        <w:tc>
          <w:tcPr>
            <w:tcW w:w="636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(13,477,240)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(16,378,832)</w:t>
            </w:r>
          </w:p>
        </w:tc>
      </w:tr>
      <w:tr>
        <w:trPr/>
        <w:tc>
          <w:tcPr>
            <w:tcW w:w="636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lineRule="auto" w:line="304" w:before="0" w:after="1"/>
              <w:ind w:left="0" w:right="0" w:hanging="0"/>
              <w:jc w:val="left"/>
              <w:rPr/>
            </w:pPr>
            <w:r>
              <w:rPr/>
              <w:t> </w:t>
            </w:r>
          </w:p>
        </w:tc>
        <w:tc>
          <w:tcPr>
            <w:tcW w:w="1156" w:type="dxa"/>
            <w:tcBorders/>
            <w:vAlign w:val="center"/>
          </w:tcPr>
          <w:p>
            <w:pPr>
              <w:pStyle w:val="TableContents"/>
              <w:bidi w:val="0"/>
              <w:spacing w:lineRule="auto" w:line="304" w:before="0" w:after="1"/>
              <w:ind w:left="0" w:right="0" w:hanging="0"/>
              <w:jc w:val="right"/>
              <w:rPr/>
            </w:pPr>
            <w:r>
              <w:rPr/>
              <w:t>  ​</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vAlign w:val="center"/>
          </w:tcPr>
          <w:p>
            <w:pPr>
              <w:pStyle w:val="TableContents"/>
              <w:bidi w:val="0"/>
              <w:spacing w:lineRule="auto" w:line="304" w:before="0" w:after="1"/>
              <w:ind w:left="0" w:right="0" w:hanging="0"/>
              <w:jc w:val="right"/>
              <w:rPr/>
            </w:pPr>
            <w:r>
              <w:rPr/>
              <w:t>  ​</w:t>
            </w:r>
          </w:p>
        </w:tc>
      </w:tr>
      <w:tr>
        <w:trPr/>
        <w:tc>
          <w:tcPr>
            <w:tcW w:w="636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Weighted</w:t>
              <w:noBreakHyphen/>
              <w:t>average number of ordinary shares outstanding—basic and diluted</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58,891,864</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70,773,769</w:t>
            </w:r>
          </w:p>
        </w:tc>
      </w:tr>
      <w:tr>
        <w:trPr/>
        <w:tc>
          <w:tcPr>
            <w:tcW w:w="6361"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Net Loss per share—basic and diluted</w:t>
            </w:r>
          </w:p>
        </w:tc>
        <w:tc>
          <w:tcPr>
            <w:tcW w:w="346" w:type="dxa"/>
            <w:tcBorders/>
            <w:vAlign w:val="center"/>
          </w:tcPr>
          <w:p>
            <w:pPr>
              <w:pStyle w:val="TableContents"/>
              <w:bidi w:val="0"/>
              <w:spacing w:lineRule="auto" w:line="304" w:before="0" w:after="1"/>
              <w:ind w:left="0" w:right="0" w:hanging="0"/>
              <w:jc w:val="left"/>
              <w:rPr/>
            </w:pPr>
            <w:r>
              <w:rPr/>
              <w:t> </w:t>
            </w:r>
          </w:p>
        </w:tc>
        <w:tc>
          <w:tcPr>
            <w:tcW w:w="115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c>
          <w:tcPr>
            <w:tcW w:w="346" w:type="dxa"/>
            <w:tcBorders/>
            <w:vAlign w:val="center"/>
          </w:tcPr>
          <w:p>
            <w:pPr>
              <w:pStyle w:val="TableContents"/>
              <w:bidi w:val="0"/>
              <w:spacing w:lineRule="auto" w:line="304" w:before="0" w:after="1"/>
              <w:ind w:left="0" w:right="0" w:hanging="0"/>
              <w:jc w:val="left"/>
              <w:rPr/>
            </w:pPr>
            <w:r>
              <w:rPr/>
              <w:t> </w:t>
            </w:r>
          </w:p>
        </w:tc>
        <w:tc>
          <w:tcPr>
            <w:tcW w:w="120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(0.23)</w:t>
            </w:r>
          </w:p>
        </w:tc>
      </w:tr>
    </w:tbl>
    <w:p>
      <w:pPr>
        <w:pStyle w:val="TextBody"/>
        <w:bidi w:val="0"/>
        <w:spacing w:lineRule="auto" w:line="304" w:before="0" w:after="16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effects of all outstanding share options, share and RSU grant, Series A Preferred Shares and warrants have been excluded from the computation of diluted loss per share for the six months ended June 30, 2025 and 2026 as their effects would be anti-dilutive.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885" w:name="Tc_-T3V6lsjk0OLK429eeXfRQ_3_0"/>
      <w:bookmarkStart w:id="886" w:name="Tc_TvSIzr52ukqk-2LpsWH1Sg_2_4"/>
      <w:bookmarkStart w:id="887" w:name="Tc_GE6lApL2gUWCHHZZBK8VSQ_2_2"/>
      <w:bookmarkStart w:id="888" w:name="Tc_qIuxoCpxDUWDc0myKIde_Q_1_2"/>
      <w:bookmarkEnd w:id="885"/>
      <w:bookmarkEnd w:id="886"/>
      <w:bookmarkEnd w:id="887"/>
      <w:bookmarkEnd w:id="888"/>
      <w:r>
        <w:rPr>
          <w:rFonts w:ascii="Times New Roman;Times;serif" w:hAnsi="Times New Roman;Times;serif"/>
          <w:sz w:val="20"/>
        </w:rPr>
        <w:t>The potentially dilutive securities that have not been included in the calculation of diluted net loss per share as their inclusion would be anti-dilutive are as follows:</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11"/>
        <w:gridCol w:w="346"/>
        <w:gridCol w:w="911"/>
        <w:gridCol w:w="404"/>
        <w:gridCol w:w="1333"/>
      </w:tblGrid>
      <w:tr>
        <w:trPr/>
        <w:tc>
          <w:tcPr>
            <w:tcW w:w="7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578985" cy="175260"/>
                      <wp:effectExtent l="0" t="0" r="0" b="0"/>
                      <wp:wrapNone/>
                      <wp:docPr id="178" name="Frame168"/>
                      <a:graphic xmlns:a="http://schemas.openxmlformats.org/drawingml/2006/main">
                        <a:graphicData uri="http://schemas.microsoft.com/office/word/2010/wordprocessingShape">
                          <wps:wsp>
                            <wps:cNvSpPr txBox="1"/>
                            <wps:spPr>
                              <a:xfrm>
                                <a:off x="0" y="0"/>
                                <a:ext cx="45789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8485" cy="175260"/>
                      <wp:effectExtent l="0" t="0" r="0" b="0"/>
                      <wp:wrapNone/>
                      <wp:docPr id="180" name="Frame17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6540" cy="175260"/>
                      <wp:effectExtent l="0" t="0" r="0" b="0"/>
                      <wp:wrapNone/>
                      <wp:docPr id="181" name="Frame171"/>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846455" cy="175260"/>
                      <wp:effectExtent l="0" t="0" r="0" b="0"/>
                      <wp:wrapNone/>
                      <wp:docPr id="182" name="Frame172"/>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72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648"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721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91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4" w:type="dxa"/>
            <w:tcBorders/>
            <w:vAlign w:val="center"/>
          </w:tcPr>
          <w:p>
            <w:pPr>
              <w:pStyle w:val="TableContents"/>
              <w:bidi w:val="0"/>
              <w:spacing w:lineRule="auto" w:line="304" w:before="0" w:after="1"/>
              <w:ind w:left="0" w:right="0" w:hanging="0"/>
              <w:jc w:val="left"/>
              <w:rPr/>
            </w:pPr>
            <w:r>
              <w:rPr/>
              <w:t>  ​ ​ ​</w:t>
            </w:r>
          </w:p>
        </w:tc>
        <w:tc>
          <w:tcPr>
            <w:tcW w:w="1333"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7211"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Incremental shares on share options, share grant, RSU grant, Series A Preferred Shares and warrants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91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191,073</w:t>
            </w:r>
          </w:p>
        </w:tc>
        <w:tc>
          <w:tcPr>
            <w:tcW w:w="404" w:type="dxa"/>
            <w:tcBorders/>
            <w:shd w:fill="CCEEFF" w:val="clear"/>
            <w:vAlign w:val="center"/>
          </w:tcPr>
          <w:p>
            <w:pPr>
              <w:pStyle w:val="TableContents"/>
              <w:bidi w:val="0"/>
              <w:spacing w:lineRule="auto" w:line="304" w:before="0" w:after="1"/>
              <w:ind w:left="0" w:right="0" w:hanging="0"/>
              <w:jc w:val="left"/>
              <w:rPr/>
            </w:pPr>
            <w:r>
              <w:rPr/>
              <w:t> </w:t>
            </w:r>
          </w:p>
        </w:tc>
        <w:tc>
          <w:tcPr>
            <w:tcW w:w="1333" w:type="dxa"/>
            <w:tcBorders/>
            <w:shd w:fill="CCEEFF" w:val="cle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14,489,454</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889" w:name="Tc_EqhqAkDZiUqYdbhjIVrTmg_6_4"/>
      <w:bookmarkStart w:id="890" w:name="Tc_dEMMkLJ8EU-9al21J920zw_5_4"/>
      <w:bookmarkStart w:id="891" w:name="Tc_uVj9QYmFfkKVL9xXXcF7xg_4_4"/>
      <w:bookmarkStart w:id="892" w:name="Tc_JaY5n407f0abH1NHMw-Y-g_3_4"/>
      <w:bookmarkStart w:id="893" w:name="Tc_tsVrT12jUEmMz98M335l8Q_3_2"/>
      <w:bookmarkStart w:id="894" w:name="Tc_jMMn2ERfrUSRShuphhK7mw_2_4"/>
      <w:bookmarkStart w:id="895" w:name="Tc_Ot8I62cm5EOdshLQhQybjQ_2_2"/>
      <w:bookmarkStart w:id="896" w:name="Tc_VTP9Niq_A0mgk344-ZkLtQ_1_4"/>
      <w:bookmarkStart w:id="897" w:name="Tc_AeHynBmHHEiQ2rTrpau3mQ_1_2"/>
      <w:bookmarkStart w:id="898" w:name="_5c35fe04_05d0_42e1_b1f0_e82a033bed13"/>
      <w:bookmarkStart w:id="899" w:name="Tc_0bcyBswHr0uA3IF48kwgKA_5_0"/>
      <w:bookmarkStart w:id="900" w:name="Tc_j_Yuuc0fTECZoJdyb1-wlg_4_4"/>
      <w:bookmarkStart w:id="901" w:name="Tc_nRTLL4jot0SmPznbcojh6w_3_4"/>
      <w:bookmarkStart w:id="902" w:name="Tc_wiIp2IuKQkSXqvyKV-zeXQ_3_2"/>
      <w:bookmarkStart w:id="903" w:name="Tc_TiB_Ya3E10yPN36JBi6vQw_2_4"/>
      <w:bookmarkStart w:id="904" w:name="Tc_HXG0AwZKXk2454k3YeR8wg_2_2"/>
      <w:bookmarkStart w:id="905" w:name="Tc_9nVwijitYkWu6beN4PDF_w_1_4"/>
      <w:bookmarkStart w:id="906" w:name="Tc_vmAe4gp2gkaA6zvUFOpBQA_1_2"/>
      <w:bookmarkStart w:id="907" w:name="_0ded37a5_4c6c_4e28_bb24_b81ff8e9bf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sz w:val="20"/>
        </w:rPr>
        <w:t>15. RELATED PARTY TRANSACTIONS</w:t>
      </w:r>
    </w:p>
    <w:tbl>
      <w:tblPr>
        <w:tblW w:w="1697" w:type="dxa"/>
        <w:jc w:val="left"/>
        <w:tblInd w:w="0" w:type="dxa"/>
        <w:tblLayout w:type="fixed"/>
        <w:tblCellMar>
          <w:top w:w="0" w:type="dxa"/>
          <w:left w:w="0" w:type="dxa"/>
          <w:bottom w:w="0" w:type="dxa"/>
          <w:right w:w="0" w:type="dxa"/>
        </w:tblCellMar>
      </w:tblPr>
      <w:tblGrid>
        <w:gridCol w:w="286"/>
        <w:gridCol w:w="1411"/>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141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Related Parties</w:t>
            </w:r>
          </w:p>
        </w:tc>
      </w:tr>
    </w:tbl>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37"/>
        <w:gridCol w:w="346"/>
        <w:gridCol w:w="6122"/>
      </w:tblGrid>
      <w:tr>
        <w:trPr/>
        <w:tc>
          <w:tcPr>
            <w:tcW w:w="3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372995" cy="175260"/>
                      <wp:effectExtent l="0" t="0" r="0" b="0"/>
                      <wp:wrapNone/>
                      <wp:docPr id="183" name="Frame173"/>
                      <a:graphic xmlns:a="http://schemas.openxmlformats.org/drawingml/2006/main">
                        <a:graphicData uri="http://schemas.microsoft.com/office/word/2010/wordprocessingShape">
                          <wps:wsp>
                            <wps:cNvSpPr txBox="1"/>
                            <wps:spPr>
                              <a:xfrm>
                                <a:off x="0" y="0"/>
                                <a:ext cx="237299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6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3887470" cy="175260"/>
                      <wp:effectExtent l="0" t="0" r="0" b="0"/>
                      <wp:wrapNone/>
                      <wp:docPr id="185" name="Frame175"/>
                      <a:graphic xmlns:a="http://schemas.openxmlformats.org/drawingml/2006/main">
                        <a:graphicData uri="http://schemas.microsoft.com/office/word/2010/wordprocessingShape">
                          <wps:wsp>
                            <wps:cNvSpPr txBox="1"/>
                            <wps:spPr>
                              <a:xfrm>
                                <a:off x="0" y="0"/>
                                <a:ext cx="388747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737" w:type="dxa"/>
            <w:tcBorders>
              <w:bottom w:val="single" w:sz="2" w:space="0" w:color="000000"/>
            </w:tcBorders>
            <w:tcMar>
              <w:bottom w:w="28" w:type="dxa"/>
            </w:tcMar>
            <w:vAlign w:val="center"/>
          </w:tcPr>
          <w:p>
            <w:pPr>
              <w:pStyle w:val="TableContents"/>
              <w:pBdr/>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Name of related parties</w:t>
            </w:r>
          </w:p>
        </w:tc>
        <w:tc>
          <w:tcPr>
            <w:tcW w:w="346" w:type="dxa"/>
            <w:tcBorders/>
            <w:vAlign w:val="center"/>
          </w:tcPr>
          <w:p>
            <w:pPr>
              <w:pStyle w:val="TableContents"/>
              <w:bidi w:val="0"/>
              <w:spacing w:lineRule="auto" w:line="304" w:before="0" w:after="1"/>
              <w:ind w:left="0" w:right="0" w:hanging="0"/>
              <w:jc w:val="left"/>
              <w:rPr/>
            </w:pPr>
            <w:r>
              <w:rPr/>
              <w:t>  ​ ​ ​</w:t>
            </w:r>
          </w:p>
        </w:tc>
        <w:tc>
          <w:tcPr>
            <w:tcW w:w="6122" w:type="dxa"/>
            <w:tcBorders>
              <w:bottom w:val="single" w:sz="2" w:space="0" w:color="000000"/>
            </w:tcBorders>
            <w:tcMar>
              <w:bottom w:w="28" w:type="dxa"/>
            </w:tcMar>
            <w:vAlign w:val="center"/>
          </w:tcPr>
          <w:p>
            <w:pPr>
              <w:pStyle w:val="TableContents"/>
              <w:bidi w:val="0"/>
              <w:spacing w:lineRule="auto" w:line="304" w:before="0" w:after="1"/>
              <w:ind w:left="0" w:right="0" w:hanging="0"/>
              <w:jc w:val="left"/>
              <w:rPr>
                <w:rFonts w:ascii="Times New Roman;Times;serif" w:hAnsi="Times New Roman;Times;serif"/>
                <w:b/>
                <w:sz w:val="16"/>
              </w:rPr>
            </w:pPr>
            <w:r>
              <w:rPr>
                <w:rFonts w:ascii="Times New Roman;Times;serif" w:hAnsi="Times New Roman;Times;serif"/>
                <w:b/>
                <w:sz w:val="16"/>
              </w:rPr>
              <w:t>Relationship</w:t>
            </w:r>
          </w:p>
        </w:tc>
      </w:tr>
      <w:tr>
        <w:trPr/>
        <w:tc>
          <w:tcPr>
            <w:tcW w:w="3737" w:type="dxa"/>
            <w:tcBorders/>
            <w:shd w:fill="CCEEFF" w:val="clear"/>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Peter Luo</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122"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Chairman, Chief Executive Officer and a principal shareholder of the Company</w:t>
            </w:r>
          </w:p>
        </w:tc>
      </w:tr>
      <w:tr>
        <w:trPr/>
        <w:tc>
          <w:tcPr>
            <w:tcW w:w="3737" w:type="dxa"/>
            <w:tcBorders/>
            <w:vAlign w:val="center"/>
          </w:tcPr>
          <w:p>
            <w:pPr>
              <w:pStyle w:val="TableContents"/>
              <w:pBdr/>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Certain senior management personnel</w:t>
            </w:r>
          </w:p>
        </w:tc>
        <w:tc>
          <w:tcPr>
            <w:tcW w:w="346" w:type="dxa"/>
            <w:tcBorders/>
            <w:vAlign w:val="center"/>
          </w:tcPr>
          <w:p>
            <w:pPr>
              <w:pStyle w:val="TableContents"/>
              <w:bidi w:val="0"/>
              <w:spacing w:lineRule="auto" w:line="304" w:before="0" w:after="1"/>
              <w:ind w:left="0" w:right="0" w:hanging="0"/>
              <w:jc w:val="left"/>
              <w:rPr/>
            </w:pPr>
            <w:r>
              <w:rPr/>
              <w:t> </w:t>
            </w:r>
          </w:p>
        </w:tc>
        <w:tc>
          <w:tcPr>
            <w:tcW w:w="6122"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Management and ordinary shareholders of the Company</w:t>
            </w:r>
          </w:p>
        </w:tc>
      </w:tr>
      <w:tr>
        <w:trPr/>
        <w:tc>
          <w:tcPr>
            <w:tcW w:w="3737" w:type="dxa"/>
            <w:tcBorders/>
            <w:shd w:fill="CCEEFF" w:val="clear"/>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WuXi AppTec Co., Ltd. (“WuXi AppTec Group”) </w:t>
            </w:r>
            <w:r>
              <w:rPr>
                <w:rFonts w:ascii="Times New Roman;Times;serif" w:hAnsi="Times New Roman;Times;serif"/>
                <w:sz w:val="15"/>
              </w:rPr>
              <w:t>(a)</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6122"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 principal shareholder of the Company</w:t>
            </w:r>
          </w:p>
        </w:tc>
      </w:tr>
      <w:tr>
        <w:trPr/>
        <w:tc>
          <w:tcPr>
            <w:tcW w:w="3737"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WuXi Biologics (Cayman) Inc. </w:t>
            </w:r>
            <w:r>
              <w:rPr>
                <w:rFonts w:ascii="Times New Roman;Times;serif" w:hAnsi="Times New Roman;Times;serif"/>
                <w:sz w:val="15"/>
              </w:rPr>
              <w:t>(a)</w:t>
            </w:r>
          </w:p>
        </w:tc>
        <w:tc>
          <w:tcPr>
            <w:tcW w:w="346" w:type="dxa"/>
            <w:tcBorders/>
            <w:vAlign w:val="center"/>
          </w:tcPr>
          <w:p>
            <w:pPr>
              <w:pStyle w:val="TableContents"/>
              <w:bidi w:val="0"/>
              <w:spacing w:lineRule="auto" w:line="304" w:before="0" w:after="1"/>
              <w:ind w:left="0" w:right="0" w:hanging="0"/>
              <w:jc w:val="left"/>
              <w:rPr/>
            </w:pPr>
            <w:r>
              <w:rPr/>
              <w:t> </w:t>
            </w:r>
          </w:p>
        </w:tc>
        <w:tc>
          <w:tcPr>
            <w:tcW w:w="6122"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Controlled by the ultimate controlling party of a principal shareholder of the Company</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 (a): In April 2026, the Company closed an underwritten public offering of 18,666,000 ADSs, each representing 1.25 ordinary shares of the Company (see Note 18 for detail). Right after the closing, WuXi AppTec Group’s shareholding in the Company dropped below 5% and WuXi AppTec Group had no significant influence over the Company. As a result, WuXi AppTec Group and WuXi Biologics (Cayman) Inc. were not considered the Group’s related parties since then.</w:t>
      </w:r>
    </w:p>
    <w:p>
      <w:pPr>
        <w:pStyle w:val="TextBody"/>
        <w:bidi w:val="0"/>
        <w:spacing w:lineRule="auto" w:line="285" w:before="0" w:after="240"/>
        <w:ind w:left="0" w:right="0" w:hanging="0"/>
        <w:jc w:val="left"/>
        <w:rPr/>
      </w:pPr>
      <w:r>
        <w:rPr/>
        <w:t>​</w:t>
      </w:r>
    </w:p>
    <w:tbl>
      <w:tblPr>
        <w:tblW w:w="8372" w:type="dxa"/>
        <w:jc w:val="left"/>
        <w:tblInd w:w="0" w:type="dxa"/>
        <w:tblLayout w:type="fixed"/>
        <w:tblCellMar>
          <w:top w:w="0" w:type="dxa"/>
          <w:left w:w="0" w:type="dxa"/>
          <w:bottom w:w="0" w:type="dxa"/>
          <w:right w:w="0" w:type="dxa"/>
        </w:tblCellMar>
      </w:tblPr>
      <w:tblGrid>
        <w:gridCol w:w="286"/>
        <w:gridCol w:w="8086"/>
      </w:tblGrid>
      <w:tr>
        <w:trPr/>
        <w:tc>
          <w:tcPr>
            <w:tcW w:w="28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8086"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Group had the following related party balances as of December 31, 2025 and June 30, 2026:</w:t>
            </w:r>
          </w:p>
        </w:tc>
      </w:tr>
    </w:tbl>
    <w:p>
      <w:pPr>
        <w:pStyle w:val="TextBody"/>
        <w:bidi w:val="0"/>
        <w:spacing w:lineRule="auto" w:line="285" w:before="0" w:after="240"/>
        <w:ind w:left="0" w:right="0" w:firstLine="720"/>
        <w:jc w:val="left"/>
        <w:rPr/>
      </w:pPr>
      <w:r>
        <w:rPr/>
        <w:t>​</w:t>
      </w:r>
    </w:p>
    <w:tbl>
      <w:tblPr>
        <w:tblW w:w="6875" w:type="dxa"/>
        <w:jc w:val="left"/>
        <w:tblInd w:w="0" w:type="dxa"/>
        <w:tblLayout w:type="fixed"/>
        <w:tblCellMar>
          <w:top w:w="0" w:type="dxa"/>
          <w:left w:w="0" w:type="dxa"/>
          <w:bottom w:w="0" w:type="dxa"/>
          <w:right w:w="0" w:type="dxa"/>
        </w:tblCellMar>
      </w:tblPr>
      <w:tblGrid>
        <w:gridCol w:w="3436"/>
        <w:gridCol w:w="346"/>
        <w:gridCol w:w="1561"/>
        <w:gridCol w:w="346"/>
        <w:gridCol w:w="118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81860" cy="175260"/>
                      <wp:effectExtent l="0" t="0" r="0" b="0"/>
                      <wp:wrapNone/>
                      <wp:docPr id="186" name="Frame17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91235" cy="175260"/>
                      <wp:effectExtent l="0" t="0" r="0" b="0"/>
                      <wp:wrapNone/>
                      <wp:docPr id="188" name="Frame17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53110" cy="175260"/>
                      <wp:effectExtent l="0" t="0" r="0" b="0"/>
                      <wp:wrapNone/>
                      <wp:docPr id="190" name="Frame18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343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43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56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4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0"/>
              </w:rPr>
              <w:t>WuXi AppTec Group</w:t>
            </w:r>
            <w:r>
              <w:rPr>
                <w:rFonts w:ascii="Times New Roman;Times;serif" w:hAnsi="Times New Roman;Times;serif"/>
                <w:b w:val="false"/>
                <w:i w:val="false"/>
                <w:caps w:val="false"/>
                <w:smallCaps w:val="false"/>
                <w:sz w:val="15"/>
              </w:rPr>
              <w:t>(a)</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6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14,276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pPr>
            <w:r>
              <w:rPr/>
              <w:t>—</w:t>
            </w:r>
          </w:p>
        </w:tc>
      </w:tr>
      <w:tr>
        <w:trPr/>
        <w:tc>
          <w:tcPr>
            <w:tcW w:w="343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Certain senior management personnel</w:t>
            </w:r>
          </w:p>
        </w:tc>
        <w:tc>
          <w:tcPr>
            <w:tcW w:w="346" w:type="dxa"/>
            <w:tcBorders/>
            <w:vAlign w:val="center"/>
          </w:tcPr>
          <w:p>
            <w:pPr>
              <w:pStyle w:val="TableContents"/>
              <w:bidi w:val="0"/>
              <w:spacing w:lineRule="auto" w:line="304" w:before="0" w:after="16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3,073</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3,025</w:t>
            </w:r>
          </w:p>
        </w:tc>
      </w:tr>
      <w:tr>
        <w:trPr/>
        <w:tc>
          <w:tcPr>
            <w:tcW w:w="343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amounts due from related parties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17,349</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3,025</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the amounts due from WuXi AppTec Group represented prepayments made for the CRO and CDMO services. As of December 31, 2025 and June 30, 2026, the amounts due form certain senior management member represented rent deposit and advance rent payments made to one senior management personnel for operating lease of the senior management member’s personal property for business use.</w:t>
      </w:r>
    </w:p>
    <w:p>
      <w:pPr>
        <w:pStyle w:val="TextBody"/>
        <w:bidi w:val="0"/>
        <w:spacing w:lineRule="auto" w:line="285" w:before="0" w:after="240"/>
        <w:ind w:left="0" w:right="0" w:firstLine="720"/>
        <w:jc w:val="left"/>
        <w:rPr/>
      </w:pPr>
      <w:r>
        <w:rPr/>
        <w:t>​</w:t>
      </w:r>
    </w:p>
    <w:tbl>
      <w:tblPr>
        <w:tblW w:w="6620" w:type="dxa"/>
        <w:jc w:val="left"/>
        <w:tblInd w:w="0" w:type="dxa"/>
        <w:tblLayout w:type="fixed"/>
        <w:tblCellMar>
          <w:top w:w="0" w:type="dxa"/>
          <w:left w:w="0" w:type="dxa"/>
          <w:bottom w:w="0" w:type="dxa"/>
          <w:right w:w="0" w:type="dxa"/>
        </w:tblCellMar>
      </w:tblPr>
      <w:tblGrid>
        <w:gridCol w:w="3181"/>
        <w:gridCol w:w="346"/>
        <w:gridCol w:w="1561"/>
        <w:gridCol w:w="346"/>
        <w:gridCol w:w="118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19935" cy="175260"/>
                      <wp:effectExtent l="0" t="0" r="0" b="0"/>
                      <wp:wrapNone/>
                      <wp:docPr id="191" name="Frame181"/>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91235" cy="175260"/>
                      <wp:effectExtent l="0" t="0" r="0" b="0"/>
                      <wp:wrapNone/>
                      <wp:docPr id="193" name="Frame183"/>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53110" cy="175260"/>
                      <wp:effectExtent l="0" t="0" r="0" b="0"/>
                      <wp:wrapNone/>
                      <wp:docPr id="195" name="Frame18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56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
              <w:ind w:left="0" w:right="0" w:hanging="0"/>
              <w:jc w:val="left"/>
              <w:rPr/>
            </w:pPr>
            <w:r>
              <w:rPr/>
              <w:t>  ​ ​ ​</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0"/>
              </w:rPr>
              <w:t xml:space="preserve">WuXi Biologics (Cayman) Inc. </w:t>
            </w:r>
            <w:r>
              <w:rPr>
                <w:rFonts w:ascii="Times New Roman;Times;serif" w:hAnsi="Times New Roman;Times;serif"/>
                <w:b w:val="false"/>
                <w:i w:val="false"/>
                <w:caps w:val="false"/>
                <w:smallCaps w:val="false"/>
                <w:sz w:val="15"/>
              </w:rPr>
              <w:t>(a)</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6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10,118,661</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shd w:fill="CCEEFF" w:val="clear"/>
            <w:vAlign w:val="center"/>
          </w:tcPr>
          <w:p>
            <w:pPr>
              <w:pStyle w:val="TableContents"/>
              <w:bidi w:val="0"/>
              <w:spacing w:lineRule="auto" w:line="304" w:before="0" w:after="1"/>
              <w:ind w:left="0" w:right="0" w:hanging="0"/>
              <w:jc w:val="right"/>
              <w:rPr/>
            </w:pPr>
            <w:r>
              <w:rPr/>
              <w:t>—</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0"/>
              </w:rPr>
              <w:t>WuXi AppTec Group</w:t>
            </w:r>
            <w:r>
              <w:rPr>
                <w:rFonts w:ascii="Times New Roman;Times;serif" w:hAnsi="Times New Roman;Times;serif"/>
                <w:b w:val="false"/>
                <w:i w:val="false"/>
                <w:caps w:val="false"/>
                <w:smallCaps w:val="false"/>
                <w:sz w:val="15"/>
              </w:rPr>
              <w:t>(a)</w:t>
            </w:r>
          </w:p>
        </w:tc>
        <w:tc>
          <w:tcPr>
            <w:tcW w:w="346" w:type="dxa"/>
            <w:tcBorders/>
            <w:vAlign w:val="center"/>
          </w:tcPr>
          <w:p>
            <w:pPr>
              <w:pStyle w:val="TableContents"/>
              <w:bidi w:val="0"/>
              <w:spacing w:lineRule="auto" w:line="304"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228,539</w:t>
            </w:r>
          </w:p>
        </w:tc>
        <w:tc>
          <w:tcPr>
            <w:tcW w:w="346" w:type="dxa"/>
            <w:tcBorders/>
            <w:vAlign w:val="center"/>
          </w:tcPr>
          <w:p>
            <w:pPr>
              <w:pStyle w:val="TableContents"/>
              <w:bidi w:val="0"/>
              <w:spacing w:lineRule="auto" w:line="304"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r>
      <w:tr>
        <w:trPr/>
        <w:tc>
          <w:tcPr>
            <w:tcW w:w="318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amounts due to related parties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6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10,347,200</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pPr>
            <w:r>
              <w:rPr/>
              <w:t>—</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the amounts due to related parties represented payables for the CRO and CDMO services.</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08" w:name="Tc_lbK9Z5boe0CgI3HMjlsJGg_6_0"/>
      <w:bookmarkStart w:id="909" w:name="Tc_L2i1NG9mdESR0EkFOQfZkQ_5_0"/>
      <w:bookmarkStart w:id="910" w:name="Tc_U2B4OwZN7E66KN0j3sle5g_4_0"/>
      <w:bookmarkStart w:id="911" w:name="Tc_MrOb0tIxQEqoyX1jfxpctQ_3_4"/>
      <w:bookmarkStart w:id="912" w:name="Tc_KeO69pAV1UKbV7E4Q-mOWw_3_2"/>
      <w:bookmarkStart w:id="913" w:name="Tc_-Bh8-_LM4Ee4peUT8L3U0A_2_4"/>
      <w:bookmarkStart w:id="914" w:name="Tc_ArqMX1UNgUSISF4CEHTy2w_2_2"/>
      <w:bookmarkStart w:id="915" w:name="Tc_twt_2NjkXUmeJjwv2g8JGQ_1_2"/>
      <w:bookmarkStart w:id="916" w:name="_eab2d572_ac98_4daa_bc32_cc30c9731250"/>
      <w:bookmarkStart w:id="917" w:name="Tc_lbK9Z5boe0CgI3HMjlsJGg_6_0"/>
      <w:bookmarkStart w:id="918" w:name="Tc_L2i1NG9mdESR0EkFOQfZkQ_5_0"/>
      <w:bookmarkStart w:id="919" w:name="Tc_U2B4OwZN7E66KN0j3sle5g_4_0"/>
      <w:bookmarkStart w:id="920" w:name="Tc_MrOb0tIxQEqoyX1jfxpctQ_3_4"/>
      <w:bookmarkStart w:id="921" w:name="Tc_KeO69pAV1UKbV7E4Q-mOWw_3_2"/>
      <w:bookmarkStart w:id="922" w:name="Tc_-Bh8-_LM4Ee4peUT8L3U0A_2_4"/>
      <w:bookmarkStart w:id="923" w:name="Tc_ArqMX1UNgUSISF4CEHTy2w_2_2"/>
      <w:bookmarkStart w:id="924" w:name="Tc_twt_2NjkXUmeJjwv2g8JGQ_1_2"/>
      <w:bookmarkStart w:id="925" w:name="_eab2d572_ac98_4daa_bc32_cc30c9731250"/>
      <w:bookmarkEnd w:id="917"/>
      <w:bookmarkEnd w:id="918"/>
      <w:bookmarkEnd w:id="919"/>
      <w:bookmarkEnd w:id="920"/>
      <w:bookmarkEnd w:id="921"/>
      <w:bookmarkEnd w:id="922"/>
      <w:bookmarkEnd w:id="923"/>
      <w:bookmarkEnd w:id="924"/>
      <w:bookmarkEnd w:id="925"/>
    </w:p>
    <w:tbl>
      <w:tblPr>
        <w:tblW w:w="9392" w:type="dxa"/>
        <w:jc w:val="left"/>
        <w:tblInd w:w="0" w:type="dxa"/>
        <w:tblLayout w:type="fixed"/>
        <w:tblCellMar>
          <w:top w:w="0" w:type="dxa"/>
          <w:left w:w="0" w:type="dxa"/>
          <w:bottom w:w="0" w:type="dxa"/>
          <w:right w:w="0" w:type="dxa"/>
        </w:tblCellMar>
      </w:tblPr>
      <w:tblGrid>
        <w:gridCol w:w="271"/>
        <w:gridCol w:w="9121"/>
      </w:tblGrid>
      <w:tr>
        <w:trPr/>
        <w:tc>
          <w:tcPr>
            <w:tcW w:w="27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121"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The Group had the following related party transactions during the six months ended June 30, 2025 and 2026:</w:t>
            </w:r>
          </w:p>
        </w:tc>
      </w:tr>
    </w:tbl>
    <w:p>
      <w:pPr>
        <w:pStyle w:val="TextBody"/>
        <w:bidi w:val="0"/>
        <w:spacing w:lineRule="auto" w:line="285" w:before="0" w:after="240"/>
        <w:ind w:left="0" w:right="0" w:hanging="0"/>
        <w:jc w:val="left"/>
        <w:rPr/>
      </w:pPr>
      <w:r>
        <w:rPr/>
        <w:t>​</w:t>
      </w:r>
    </w:p>
    <w:tbl>
      <w:tblPr>
        <w:tblW w:w="6227" w:type="dxa"/>
        <w:jc w:val="left"/>
        <w:tblInd w:w="0" w:type="dxa"/>
        <w:tblLayout w:type="fixed"/>
        <w:tblCellMar>
          <w:top w:w="0" w:type="dxa"/>
          <w:left w:w="0" w:type="dxa"/>
          <w:bottom w:w="0" w:type="dxa"/>
          <w:right w:w="0" w:type="dxa"/>
        </w:tblCellMar>
      </w:tblPr>
      <w:tblGrid>
        <w:gridCol w:w="3181"/>
        <w:gridCol w:w="346"/>
        <w:gridCol w:w="1162"/>
        <w:gridCol w:w="432"/>
        <w:gridCol w:w="1106"/>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19935" cy="175260"/>
                      <wp:effectExtent l="0" t="0" r="0" b="0"/>
                      <wp:wrapNone/>
                      <wp:docPr id="196" name="Frame186"/>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37870" cy="175260"/>
                      <wp:effectExtent l="0" t="0" r="0" b="0"/>
                      <wp:wrapNone/>
                      <wp:docPr id="198" name="Frame188"/>
                      <a:graphic xmlns:a="http://schemas.openxmlformats.org/drawingml/2006/main">
                        <a:graphicData uri="http://schemas.microsoft.com/office/word/2010/wordprocessingShape">
                          <wps:wsp>
                            <wps:cNvSpPr txBox="1"/>
                            <wps:spPr>
                              <a:xfrm>
                                <a:off x="0" y="0"/>
                                <a:ext cx="73787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74320" cy="175260"/>
                      <wp:effectExtent l="0" t="0" r="0" b="0"/>
                      <wp:wrapNone/>
                      <wp:docPr id="199" name="Frame189"/>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02310" cy="175260"/>
                      <wp:effectExtent l="0" t="0" r="0" b="0"/>
                      <wp:wrapNone/>
                      <wp:docPr id="200" name="Frame190"/>
                      <a:graphic xmlns:a="http://schemas.openxmlformats.org/drawingml/2006/main">
                        <a:graphicData uri="http://schemas.microsoft.com/office/word/2010/wordprocessingShape">
                          <wps:wsp>
                            <wps:cNvSpPr txBox="1"/>
                            <wps:spPr>
                              <a:xfrm>
                                <a:off x="0" y="0"/>
                                <a:ext cx="7023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2700"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62"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2" w:type="dxa"/>
            <w:tcBorders/>
            <w:vAlign w:val="center"/>
          </w:tcPr>
          <w:p>
            <w:pPr>
              <w:pStyle w:val="TableContents"/>
              <w:bidi w:val="0"/>
              <w:spacing w:lineRule="auto" w:line="304" w:before="0" w:after="160"/>
              <w:ind w:left="0" w:right="0" w:hanging="0"/>
              <w:jc w:val="left"/>
              <w:rPr/>
            </w:pPr>
            <w:r>
              <w:rPr/>
              <w:t>​</w:t>
            </w:r>
          </w:p>
        </w:tc>
        <w:tc>
          <w:tcPr>
            <w:tcW w:w="110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 ​ ​</w:t>
            </w:r>
          </w:p>
        </w:tc>
        <w:tc>
          <w:tcPr>
            <w:tcW w:w="1162"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32" w:type="dxa"/>
            <w:tcBorders/>
            <w:vAlign w:val="center"/>
          </w:tcPr>
          <w:p>
            <w:pPr>
              <w:pStyle w:val="TableContents"/>
              <w:bidi w:val="0"/>
              <w:spacing w:lineRule="auto" w:line="304" w:before="0" w:after="1"/>
              <w:ind w:left="0" w:right="0" w:hanging="0"/>
              <w:jc w:val="left"/>
              <w:rPr/>
            </w:pPr>
            <w:r>
              <w:rPr/>
              <w:t>  ​ ​ ​</w:t>
            </w:r>
          </w:p>
        </w:tc>
        <w:tc>
          <w:tcPr>
            <w:tcW w:w="110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WuXi Biologics (Cayman) Inc</w:t>
            </w:r>
            <w:r>
              <w:rPr>
                <w:rFonts w:ascii="Times New Roman;Times;serif" w:hAnsi="Times New Roman;Times;serif"/>
                <w:sz w:val="15"/>
              </w:rPr>
              <w:t>(a)</w:t>
            </w: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162"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1,123,145</w:t>
            </w:r>
          </w:p>
        </w:tc>
        <w:tc>
          <w:tcPr>
            <w:tcW w:w="432" w:type="dxa"/>
            <w:tcBorders/>
            <w:shd w:fill="CCEEFF" w:val="clear"/>
            <w:vAlign w:val="center"/>
          </w:tcPr>
          <w:p>
            <w:pPr>
              <w:pStyle w:val="TableContents"/>
              <w:bidi w:val="0"/>
              <w:spacing w:lineRule="auto" w:line="304" w:before="0" w:after="1"/>
              <w:ind w:left="0" w:right="0" w:hanging="0"/>
              <w:jc w:val="left"/>
              <w:rPr/>
            </w:pPr>
            <w:r>
              <w:rPr/>
              <w:t> </w:t>
            </w:r>
          </w:p>
        </w:tc>
        <w:tc>
          <w:tcPr>
            <w:tcW w:w="110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227,663</w:t>
            </w:r>
          </w:p>
        </w:tc>
      </w:tr>
      <w:tr>
        <w:trPr/>
        <w:tc>
          <w:tcPr>
            <w:tcW w:w="3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WuXi AppTec Group</w:t>
            </w:r>
            <w:r>
              <w:rPr>
                <w:rFonts w:ascii="Times New Roman;Times;serif" w:hAnsi="Times New Roman;Times;serif"/>
                <w:sz w:val="15"/>
              </w:rPr>
              <w:t>(a)</w:t>
            </w:r>
          </w:p>
        </w:tc>
        <w:tc>
          <w:tcPr>
            <w:tcW w:w="346" w:type="dxa"/>
            <w:tcBorders/>
            <w:vAlign w:val="center"/>
          </w:tcPr>
          <w:p>
            <w:pPr>
              <w:pStyle w:val="TableContents"/>
              <w:bidi w:val="0"/>
              <w:spacing w:lineRule="auto" w:line="304" w:before="0" w:after="1"/>
              <w:ind w:left="0" w:right="0" w:hanging="0"/>
              <w:jc w:val="left"/>
              <w:rPr/>
            </w:pPr>
            <w:r>
              <w:rPr/>
              <w:t> </w:t>
            </w:r>
          </w:p>
        </w:tc>
        <w:tc>
          <w:tcPr>
            <w:tcW w:w="1162"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128,133</w:t>
            </w:r>
          </w:p>
        </w:tc>
        <w:tc>
          <w:tcPr>
            <w:tcW w:w="432" w:type="dxa"/>
            <w:tcBorders/>
            <w:vAlign w:val="center"/>
          </w:tcPr>
          <w:p>
            <w:pPr>
              <w:pStyle w:val="TableContents"/>
              <w:bidi w:val="0"/>
              <w:spacing w:lineRule="auto" w:line="304" w:before="0" w:after="1"/>
              <w:ind w:left="0" w:right="0" w:hanging="0"/>
              <w:jc w:val="left"/>
              <w:rPr/>
            </w:pPr>
            <w:r>
              <w:rPr/>
              <w:t> </w:t>
            </w:r>
          </w:p>
        </w:tc>
        <w:tc>
          <w:tcPr>
            <w:tcW w:w="110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19,824</w:t>
            </w:r>
          </w:p>
        </w:tc>
      </w:tr>
      <w:tr>
        <w:trPr/>
        <w:tc>
          <w:tcPr>
            <w:tcW w:w="318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Certain senior management personnel</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62"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6,013</w:t>
            </w:r>
          </w:p>
        </w:tc>
        <w:tc>
          <w:tcPr>
            <w:tcW w:w="432" w:type="dxa"/>
            <w:tcBorders/>
            <w:shd w:fill="CCEEFF" w:val="clear"/>
            <w:vAlign w:val="center"/>
          </w:tcPr>
          <w:p>
            <w:pPr>
              <w:pStyle w:val="TableContents"/>
              <w:bidi w:val="0"/>
              <w:spacing w:lineRule="auto" w:line="304" w:before="0" w:after="160"/>
              <w:ind w:left="0" w:right="0" w:hanging="0"/>
              <w:jc w:val="left"/>
              <w:rPr/>
            </w:pPr>
            <w:r>
              <w:rPr/>
              <w:t>​</w:t>
            </w:r>
          </w:p>
        </w:tc>
        <w:tc>
          <w:tcPr>
            <w:tcW w:w="1106" w:type="dxa"/>
            <w:tcBorders>
              <w:bottom w:val="single" w:sz="2"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5,976</w:t>
            </w:r>
          </w:p>
        </w:tc>
      </w:tr>
      <w:tr>
        <w:trPr/>
        <w:tc>
          <w:tcPr>
            <w:tcW w:w="318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162" w:type="dxa"/>
            <w:tcBorders>
              <w:bottom w:val="double" w:sz="6"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1,257,291</w:t>
            </w:r>
          </w:p>
        </w:tc>
        <w:tc>
          <w:tcPr>
            <w:tcW w:w="432" w:type="dxa"/>
            <w:tcBorders/>
            <w:vAlign w:val="center"/>
          </w:tcPr>
          <w:p>
            <w:pPr>
              <w:pStyle w:val="TableContents"/>
              <w:bidi w:val="0"/>
              <w:spacing w:lineRule="auto" w:line="304" w:before="0" w:after="1"/>
              <w:ind w:left="0" w:right="0" w:hanging="0"/>
              <w:jc w:val="left"/>
              <w:rPr/>
            </w:pPr>
            <w:r>
              <w:rPr/>
              <w:t> </w:t>
            </w:r>
          </w:p>
        </w:tc>
        <w:tc>
          <w:tcPr>
            <w:tcW w:w="1106" w:type="dxa"/>
            <w:tcBorders>
              <w:bottom w:val="double" w:sz="6" w:space="0" w:color="000000"/>
            </w:tcBorders>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253,463</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2025, expenses incurred with WuXi Biologics (Cayman) Inc and WuXi AppTec Group resulted from receipt of CRO and CDMO services. For the six months ended June 30, 2026, expenses incurred with WuXi Biologics (Cayman) Inc and WuXi AppTec Group resulted from receipt of CRO and CDMO services from January 1, 2026 to the closing of the public underwritten offering.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2025 and 2026, expenses incurred with certain senior management personnel represented rent expenses incurred from operating lease of one senior management member’s personal property for business use.</w:t>
      </w:r>
    </w:p>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26" w:name="Tc_ytLL4piDFkSIsfs2WUcIPA_7_0"/>
      <w:bookmarkStart w:id="927" w:name="Tc_fgwreGwLLUGUG9Vp9QyHOw_6_0"/>
      <w:bookmarkStart w:id="928" w:name="Tc_QuDFTNQLEkSUXDCig6By7g_5_0"/>
      <w:bookmarkStart w:id="929" w:name="Tc_IjNd8BSXxUerjeSlV54j6A_4_0"/>
      <w:bookmarkStart w:id="930" w:name="Tc_lcCjjdr4V0u8fjer5oHVfw_3_4"/>
      <w:bookmarkStart w:id="931" w:name="Tc_j4tBpFPeOEa3CB1P39QZ3g_3_2"/>
      <w:bookmarkStart w:id="932" w:name="Tc_2366yMl5hU2axri5501FQw_2_4"/>
      <w:bookmarkStart w:id="933" w:name="Tc_mmgQcPBL40CH0r0Pd3RyOg_2_2"/>
      <w:bookmarkStart w:id="934" w:name="Tc_T5DzS-KxB0WlNjdXVa321g_1_2"/>
      <w:bookmarkStart w:id="935" w:name="Tc_jDDMSf4IukmpJUqCiY-cIQ_10_5"/>
      <w:bookmarkStart w:id="936" w:name="Tc_Arts3rv4IUGIonawG6drbg_10_3"/>
      <w:bookmarkStart w:id="937" w:name="Tc_S9IR8dKqYkG9Myd63SOgJg_10_0"/>
      <w:bookmarkStart w:id="938" w:name="Tc_11RGoJkqokyWnvRUZtFcTw_9_0"/>
      <w:bookmarkStart w:id="939" w:name="Tc_JxXoTW5dmUKjeOyBHpfMMw_8_0"/>
      <w:bookmarkStart w:id="940" w:name="Tc_HJFpiCcOSki1WfqyyqZJxA_7_0"/>
      <w:bookmarkStart w:id="941" w:name="Tc_SLiOQngOxESi42sDMrabiA_6_0"/>
      <w:bookmarkStart w:id="942" w:name="Tc_l1p-b86r9kiakk4RDtYKvQ_5_0"/>
      <w:bookmarkStart w:id="943" w:name="Tc_9VHEhAY43Eukz3CsrK5d4g_4_0"/>
      <w:bookmarkStart w:id="944" w:name="Tc_bCqjgfmaZkKLuQPPvuPj6Q_3_4"/>
      <w:bookmarkStart w:id="945" w:name="Tc_joe35OfbjkaAWXs5U1oBVA_3_2"/>
      <w:bookmarkStart w:id="946" w:name="Tc_xmuWAKSAGk-CHFoSvDSs3g_2_4"/>
      <w:bookmarkStart w:id="947" w:name="Tc_tkSTagc7rUmtIGGyQ9-UEQ_2_2"/>
      <w:bookmarkStart w:id="948" w:name="Tc_gtAEmIRz0UKRXQT3hbaeLw_1_4"/>
      <w:bookmarkStart w:id="949" w:name="Tc_6LnphRoMeUOaxnqwO0TAJg_1_2"/>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r>
        <w:rPr>
          <w:rFonts w:ascii="Times New Roman;Times;serif" w:hAnsi="Times New Roman;Times;serif"/>
          <w:b/>
          <w:sz w:val="20"/>
        </w:rPr>
        <w:t>16. LEASES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December 31, 2025 and June 30, 2026, the Group had operating leases recorded on its condensed consolidated balance sheets for certain office spaces and laboratory equipment that expire on various dates through 2029. The Group’s lease arrangements have no renewal options, rent escalation clauses, restrictions or contingent rents and are all executed with third parties. All of the Group’s leases qualify as operating leases.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Information related to operating leases as of December 31, 2025 and June 30, 2026 is as follows:</w:t>
      </w:r>
    </w:p>
    <w:p>
      <w:pPr>
        <w:pStyle w:val="TextBody"/>
        <w:bidi w:val="0"/>
        <w:spacing w:lineRule="auto" w:line="304" w:before="0" w:after="160"/>
        <w:ind w:left="0" w:right="0" w:hanging="0"/>
        <w:jc w:val="left"/>
        <w:rPr/>
      </w:pPr>
      <w:r>
        <w:rPr/>
        <w:t>​</w:t>
      </w:r>
    </w:p>
    <w:tbl>
      <w:tblPr>
        <w:tblW w:w="7566" w:type="dxa"/>
        <w:jc w:val="left"/>
        <w:tblInd w:w="0" w:type="dxa"/>
        <w:tblLayout w:type="fixed"/>
        <w:tblCellMar>
          <w:top w:w="0" w:type="dxa"/>
          <w:left w:w="0" w:type="dxa"/>
          <w:bottom w:w="0" w:type="dxa"/>
          <w:right w:w="0" w:type="dxa"/>
        </w:tblCellMar>
      </w:tblPr>
      <w:tblGrid>
        <w:gridCol w:w="3901"/>
        <w:gridCol w:w="346"/>
        <w:gridCol w:w="1516"/>
        <w:gridCol w:w="346"/>
        <w:gridCol w:w="1141"/>
        <w:gridCol w:w="31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477135" cy="175260"/>
                      <wp:effectExtent l="0" t="0" r="0" b="0"/>
                      <wp:wrapNone/>
                      <wp:docPr id="201" name="Frame19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62660" cy="175260"/>
                      <wp:effectExtent l="0" t="0" r="0" b="0"/>
                      <wp:wrapNone/>
                      <wp:docPr id="203" name="Frame193"/>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24535" cy="175260"/>
                      <wp:effectExtent l="0" t="0" r="0" b="0"/>
                      <wp:wrapNone/>
                      <wp:docPr id="205" name="Frame1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0660" cy="175260"/>
                      <wp:effectExtent l="0" t="0" r="0" b="0"/>
                      <wp:wrapNone/>
                      <wp:docPr id="206" name="Frame1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316" w:type="dxa"/>
            <w:tcBorders/>
            <w:vAlign w:val="center"/>
          </w:tcPr>
          <w:p>
            <w:pPr>
              <w:pStyle w:val="TableContents"/>
              <w:bidi w:val="0"/>
              <w:spacing w:lineRule="auto" w:line="304" w:before="0" w:after="160"/>
              <w:ind w:left="0" w:right="0" w:hanging="0"/>
              <w:jc w:val="center"/>
              <w:rPr/>
            </w:pPr>
            <w:r>
              <w:rPr/>
              <w:t>​</w:t>
            </w:r>
          </w:p>
        </w:tc>
      </w:tr>
      <w:tr>
        <w:trPr/>
        <w:tc>
          <w:tcPr>
            <w:tcW w:w="390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lineRule="auto" w:line="304" w:before="0" w:after="160"/>
              <w:ind w:left="0" w:right="0" w:hanging="0"/>
              <w:jc w:val="center"/>
              <w:rPr/>
            </w:pPr>
            <w:r>
              <w:rPr/>
              <w:t>​</w:t>
            </w:r>
          </w:p>
        </w:tc>
      </w:tr>
      <w:tr>
        <w:trPr/>
        <w:tc>
          <w:tcPr>
            <w:tcW w:w="3901"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right"/>
              <w:rPr/>
            </w:pPr>
            <w:r>
              <w:rPr/>
              <w:t>  ​</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pPr>
            <w:r>
              <w:rPr/>
              <w:t>  ​</w:t>
            </w:r>
          </w:p>
        </w:tc>
        <w:tc>
          <w:tcPr>
            <w:tcW w:w="316" w:type="dxa"/>
            <w:tcBorders/>
            <w:shd w:fill="CCEEFF" w:val="clear"/>
            <w:vAlign w:val="center"/>
          </w:tcPr>
          <w:p>
            <w:pPr>
              <w:pStyle w:val="TableContents"/>
              <w:bidi w:val="0"/>
              <w:spacing w:lineRule="auto" w:line="304" w:before="0" w:after="160"/>
              <w:ind w:left="0" w:right="0" w:hanging="0"/>
              <w:jc w:val="left"/>
              <w:rPr/>
            </w:pPr>
            <w:r>
              <w:rPr/>
              <w:t>​</w:t>
            </w:r>
          </w:p>
        </w:tc>
      </w:tr>
      <w:tr>
        <w:trPr/>
        <w:tc>
          <w:tcPr>
            <w:tcW w:w="390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145,535</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390,535</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60"/>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60"/>
              <w:ind w:left="0" w:right="0" w:hanging="0"/>
              <w:jc w:val="right"/>
              <w:rPr/>
            </w:pPr>
            <w:r>
              <w:rPr/>
              <w:t>​</w:t>
            </w:r>
          </w:p>
        </w:tc>
        <w:tc>
          <w:tcPr>
            <w:tcW w:w="316" w:type="dxa"/>
            <w:tcBorders/>
            <w:shd w:fill="CCEEFF" w:val="clear"/>
            <w:vAlign w:val="center"/>
          </w:tcPr>
          <w:p>
            <w:pPr>
              <w:pStyle w:val="TableContents"/>
              <w:bidi w:val="0"/>
              <w:spacing w:lineRule="auto" w:line="304" w:before="0" w:after="160"/>
              <w:ind w:left="0" w:right="0" w:hanging="0"/>
              <w:jc w:val="left"/>
              <w:rPr/>
            </w:pPr>
            <w:r>
              <w:rPr/>
              <w:t>​</w:t>
            </w:r>
          </w:p>
        </w:tc>
      </w:tr>
      <w:tr>
        <w:trPr/>
        <w:tc>
          <w:tcPr>
            <w:tcW w:w="390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92,055</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181,733</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53,480</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41"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183,189</w:t>
            </w:r>
          </w:p>
        </w:tc>
        <w:tc>
          <w:tcPr>
            <w:tcW w:w="316" w:type="dxa"/>
            <w:tcBorders/>
            <w:shd w:fill="CCEEFF" w:val="clear"/>
            <w:vAlign w:val="center"/>
          </w:tcPr>
          <w:p>
            <w:pPr>
              <w:pStyle w:val="TableContents"/>
              <w:bidi w:val="0"/>
              <w:spacing w:lineRule="auto" w:line="304" w:before="0" w:after="160"/>
              <w:ind w:left="0" w:right="0" w:hanging="0"/>
              <w:jc w:val="left"/>
              <w:rPr/>
            </w:pPr>
            <w:r>
              <w:rPr/>
              <w:t>​</w:t>
            </w:r>
          </w:p>
        </w:tc>
      </w:tr>
      <w:tr>
        <w:trPr/>
        <w:tc>
          <w:tcPr>
            <w:tcW w:w="3901"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lineRule="auto" w:line="304" w:before="0" w:after="160"/>
              <w:ind w:left="0" w:right="0" w:hanging="0"/>
              <w:jc w:val="left"/>
              <w:rPr/>
            </w:pPr>
            <w:r>
              <w:rPr/>
              <w:t>​</w:t>
            </w:r>
          </w:p>
        </w:tc>
        <w:tc>
          <w:tcPr>
            <w:tcW w:w="1141"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lineRule="auto" w:line="304" w:before="0" w:after="160"/>
              <w:ind w:left="0" w:right="0" w:hanging="0"/>
              <w:jc w:val="left"/>
              <w:rPr/>
            </w:pPr>
            <w:r>
              <w:rPr/>
              <w:t>​</w:t>
            </w:r>
          </w:p>
        </w:tc>
      </w:tr>
      <w:tr>
        <w:trPr/>
        <w:tc>
          <w:tcPr>
            <w:tcW w:w="3901"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Information related to operating lease activity during the six months ended June 30, 2025 and 2026 is as follows:</w:t>
      </w:r>
    </w:p>
    <w:p>
      <w:pPr>
        <w:pStyle w:val="TextBody"/>
        <w:bidi w:val="0"/>
        <w:spacing w:lineRule="auto" w:line="285" w:before="0" w:after="240"/>
        <w:ind w:left="0" w:right="0" w:firstLine="720"/>
        <w:jc w:val="left"/>
        <w:rPr/>
      </w:pPr>
      <w:r>
        <w:rPr/>
        <w:t>​</w:t>
      </w:r>
    </w:p>
    <w:tbl>
      <w:tblPr>
        <w:tblW w:w="6991" w:type="dxa"/>
        <w:jc w:val="left"/>
        <w:tblInd w:w="0" w:type="dxa"/>
        <w:tblLayout w:type="fixed"/>
        <w:tblCellMar>
          <w:top w:w="0" w:type="dxa"/>
          <w:left w:w="0" w:type="dxa"/>
          <w:bottom w:w="0" w:type="dxa"/>
          <w:right w:w="0" w:type="dxa"/>
        </w:tblCellMar>
      </w:tblPr>
      <w:tblGrid>
        <w:gridCol w:w="3946"/>
        <w:gridCol w:w="346"/>
        <w:gridCol w:w="1047"/>
        <w:gridCol w:w="464"/>
        <w:gridCol w:w="1188"/>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505710" cy="175260"/>
                      <wp:effectExtent l="0" t="0" r="0" b="0"/>
                      <wp:wrapNone/>
                      <wp:docPr id="207" name="Frame19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4845" cy="175260"/>
                      <wp:effectExtent l="0" t="0" r="0" b="0"/>
                      <wp:wrapNone/>
                      <wp:docPr id="209" name="Frame199"/>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94640" cy="175260"/>
                      <wp:effectExtent l="0" t="0" r="0" b="0"/>
                      <wp:wrapNone/>
                      <wp:docPr id="210" name="Frame200"/>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54380" cy="175260"/>
                      <wp:effectExtent l="0" t="0" r="0" b="0"/>
                      <wp:wrapNone/>
                      <wp:docPr id="211" name="Frame201"/>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2699" w:type="dxa"/>
            <w:gridSpan w:val="3"/>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394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047"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4" w:type="dxa"/>
            <w:tcBorders/>
            <w:vAlign w:val="center"/>
          </w:tcPr>
          <w:p>
            <w:pPr>
              <w:pStyle w:val="TableContents"/>
              <w:bidi w:val="0"/>
              <w:spacing w:lineRule="auto" w:line="304" w:before="0" w:after="1"/>
              <w:ind w:left="0" w:right="0" w:hanging="0"/>
              <w:jc w:val="center"/>
              <w:rPr/>
            </w:pPr>
            <w:r>
              <w:rPr/>
              <w:t>  ​ ​ ​</w:t>
            </w:r>
          </w:p>
        </w:tc>
        <w:tc>
          <w:tcPr>
            <w:tcW w:w="1188"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94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047"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464" w:type="dxa"/>
            <w:tcBorders/>
            <w:vAlign w:val="center"/>
          </w:tcPr>
          <w:p>
            <w:pPr>
              <w:pStyle w:val="TableContents"/>
              <w:bidi w:val="0"/>
              <w:spacing w:lineRule="auto" w:line="304" w:before="0" w:after="160"/>
              <w:ind w:left="0" w:right="0" w:hanging="0"/>
              <w:jc w:val="center"/>
              <w:rPr/>
            </w:pPr>
            <w:r>
              <w:rPr/>
              <w:t>​</w:t>
            </w:r>
          </w:p>
        </w:tc>
        <w:tc>
          <w:tcPr>
            <w:tcW w:w="1188"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Operating lease rental expense</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47" w:type="dxa"/>
            <w:tcBorders/>
            <w:shd w:fill="CCEEFF" w:val="clear"/>
            <w:vAlign w:val="center"/>
          </w:tcPr>
          <w:p>
            <w:pPr>
              <w:pStyle w:val="TableContents"/>
              <w:bidi w:val="0"/>
              <w:spacing w:lineRule="auto" w:line="304" w:before="0" w:after="1"/>
              <w:ind w:left="0" w:right="0" w:hanging="0"/>
              <w:jc w:val="right"/>
              <w:rPr/>
            </w:pPr>
            <w:r>
              <w:rPr/>
              <w:t>  ​</w:t>
            </w:r>
          </w:p>
        </w:tc>
        <w:tc>
          <w:tcPr>
            <w:tcW w:w="464" w:type="dxa"/>
            <w:tcBorders/>
            <w:shd w:fill="CCEEFF" w:val="clear"/>
            <w:vAlign w:val="center"/>
          </w:tcPr>
          <w:p>
            <w:pPr>
              <w:pStyle w:val="TableContents"/>
              <w:bidi w:val="0"/>
              <w:spacing w:lineRule="auto" w:line="304" w:before="0" w:after="160"/>
              <w:ind w:left="0" w:right="0" w:hanging="0"/>
              <w:jc w:val="left"/>
              <w:rPr/>
            </w:pPr>
            <w:r>
              <w:rPr/>
              <w:t>​</w:t>
            </w:r>
          </w:p>
        </w:tc>
        <w:tc>
          <w:tcPr>
            <w:tcW w:w="1188" w:type="dxa"/>
            <w:tcBorders/>
            <w:shd w:fill="CCEEFF" w:val="clear"/>
            <w:vAlign w:val="center"/>
          </w:tcPr>
          <w:p>
            <w:pPr>
              <w:pStyle w:val="TableContents"/>
              <w:bidi w:val="0"/>
              <w:spacing w:lineRule="auto" w:line="304" w:before="0" w:after="1"/>
              <w:ind w:left="0" w:right="0" w:hanging="0"/>
              <w:jc w:val="right"/>
              <w:rPr/>
            </w:pPr>
            <w:r>
              <w:rPr/>
              <w:t>  ​</w:t>
            </w:r>
          </w:p>
        </w:tc>
      </w:tr>
      <w:tr>
        <w:trPr/>
        <w:tc>
          <w:tcPr>
            <w:tcW w:w="394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lineRule="auto" w:line="304" w:before="0" w:after="1"/>
              <w:ind w:left="0" w:right="0" w:hanging="0"/>
              <w:jc w:val="left"/>
              <w:rPr/>
            </w:pPr>
            <w:r>
              <w:rPr/>
              <w:t> </w:t>
            </w:r>
          </w:p>
        </w:tc>
        <w:tc>
          <w:tcPr>
            <w:tcW w:w="1047"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70,021</w:t>
            </w:r>
          </w:p>
        </w:tc>
        <w:tc>
          <w:tcPr>
            <w:tcW w:w="464" w:type="dxa"/>
            <w:tcBorders/>
            <w:vAlign w:val="center"/>
          </w:tcPr>
          <w:p>
            <w:pPr>
              <w:pStyle w:val="TableContents"/>
              <w:bidi w:val="0"/>
              <w:spacing w:lineRule="auto" w:line="304" w:before="0" w:after="160"/>
              <w:ind w:left="0" w:right="0" w:hanging="0"/>
              <w:jc w:val="left"/>
              <w:rPr/>
            </w:pPr>
            <w:r>
              <w:rPr/>
              <w:t>​</w:t>
            </w:r>
          </w:p>
        </w:tc>
        <w:tc>
          <w:tcPr>
            <w:tcW w:w="1188"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80,997</w:t>
            </w:r>
          </w:p>
        </w:tc>
      </w:tr>
      <w:tr>
        <w:trPr/>
        <w:tc>
          <w:tcPr>
            <w:tcW w:w="394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Expense for short-term leases within 12 months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47"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27,275</w:t>
            </w:r>
          </w:p>
        </w:tc>
        <w:tc>
          <w:tcPr>
            <w:tcW w:w="464" w:type="dxa"/>
            <w:tcBorders/>
            <w:shd w:fill="CCEEFF" w:val="clear"/>
            <w:vAlign w:val="center"/>
          </w:tcPr>
          <w:p>
            <w:pPr>
              <w:pStyle w:val="TableContents"/>
              <w:bidi w:val="0"/>
              <w:spacing w:lineRule="auto" w:line="304" w:before="0" w:after="160"/>
              <w:ind w:left="0" w:right="0" w:hanging="0"/>
              <w:jc w:val="left"/>
              <w:rPr/>
            </w:pPr>
            <w:r>
              <w:rPr/>
              <w:t>​</w:t>
            </w:r>
          </w:p>
        </w:tc>
        <w:tc>
          <w:tcPr>
            <w:tcW w:w="1188"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28,427</w:t>
            </w:r>
          </w:p>
        </w:tc>
      </w:tr>
      <w:tr>
        <w:trPr/>
        <w:tc>
          <w:tcPr>
            <w:tcW w:w="394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Interest of lease liabilities</w:t>
            </w:r>
          </w:p>
        </w:tc>
        <w:tc>
          <w:tcPr>
            <w:tcW w:w="346" w:type="dxa"/>
            <w:tcBorders/>
            <w:vAlign w:val="center"/>
          </w:tcPr>
          <w:p>
            <w:pPr>
              <w:pStyle w:val="TableContents"/>
              <w:bidi w:val="0"/>
              <w:spacing w:lineRule="auto" w:line="304" w:before="0" w:after="1"/>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5,012</w:t>
            </w:r>
          </w:p>
        </w:tc>
        <w:tc>
          <w:tcPr>
            <w:tcW w:w="464" w:type="dxa"/>
            <w:tcBorders/>
            <w:vAlign w:val="center"/>
          </w:tcPr>
          <w:p>
            <w:pPr>
              <w:pStyle w:val="TableContents"/>
              <w:bidi w:val="0"/>
              <w:spacing w:lineRule="auto" w:line="304" w:before="0" w:after="160"/>
              <w:ind w:left="0" w:right="0" w:hanging="0"/>
              <w:jc w:val="left"/>
              <w:rPr/>
            </w:pPr>
            <w:r>
              <w:rPr/>
              <w:t>​</w:t>
            </w:r>
          </w:p>
        </w:tc>
        <w:tc>
          <w:tcPr>
            <w:tcW w:w="1188"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3,848</w:t>
            </w:r>
          </w:p>
        </w:tc>
      </w:tr>
      <w:tr>
        <w:trPr/>
        <w:tc>
          <w:tcPr>
            <w:tcW w:w="3946" w:type="dxa"/>
            <w:tcBorders/>
            <w:shd w:fill="CCEEFF" w:val="clear"/>
            <w:vAlign w:val="center"/>
          </w:tcPr>
          <w:p>
            <w:pPr>
              <w:pStyle w:val="TableContents"/>
              <w:bidi w:val="0"/>
              <w:spacing w:lineRule="auto" w:line="304" w:before="0" w:after="160"/>
              <w:ind w:left="0" w:right="0" w:hanging="0"/>
              <w:jc w:val="left"/>
              <w:rPr/>
            </w:pPr>
            <w:r>
              <w:rPr/>
              <w:t>​</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047"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102,308</w:t>
            </w:r>
          </w:p>
        </w:tc>
        <w:tc>
          <w:tcPr>
            <w:tcW w:w="464" w:type="dxa"/>
            <w:tcBorders/>
            <w:shd w:fill="CCEEFF" w:val="clear"/>
            <w:vAlign w:val="center"/>
          </w:tcPr>
          <w:p>
            <w:pPr>
              <w:pStyle w:val="TableContents"/>
              <w:bidi w:val="0"/>
              <w:spacing w:lineRule="auto" w:line="304" w:before="0" w:after="160"/>
              <w:ind w:left="0" w:right="0" w:hanging="0"/>
              <w:jc w:val="left"/>
              <w:rPr/>
            </w:pPr>
            <w:r>
              <w:rPr/>
              <w:t>​</w:t>
            </w:r>
          </w:p>
        </w:tc>
        <w:tc>
          <w:tcPr>
            <w:tcW w:w="1188"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113,272</w:t>
            </w:r>
          </w:p>
        </w:tc>
      </w:tr>
    </w:tbl>
    <w:p>
      <w:pPr>
        <w:pStyle w:val="TextBody"/>
        <w:bidi w:val="0"/>
        <w:spacing w:lineRule="auto" w:line="285" w:before="0" w:after="24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950" w:name="Tc_9koPr3mnNkGU2_-NhQEHtw_10_0"/>
      <w:bookmarkStart w:id="951" w:name="Tc_u5QyuZU6Tki6cm0BH6lDVA_9_0"/>
      <w:bookmarkStart w:id="952" w:name="Tc_3rMoZOsz_UG41SGMYyZbmg_8_0"/>
      <w:bookmarkStart w:id="953" w:name="Tc_vY354I0TvkmgxmoFOZjrtA_7_2"/>
      <w:bookmarkStart w:id="954" w:name="Tc_ZOCClPFEsUmf8twXhp6MGA_7_0"/>
      <w:bookmarkStart w:id="955" w:name="Tc_8sr3rQGkDkOEIEYaUejSSw_6_2"/>
      <w:bookmarkStart w:id="956" w:name="Tc_ulm1HUlcxUqnlMxL3BH4_w_6_0"/>
      <w:bookmarkStart w:id="957" w:name="Tc_e0DLPz_ohk6cVHRnjS3D3A_5_0"/>
      <w:bookmarkStart w:id="958" w:name="Tc_H7-q0LMw3kuvK6R8nFY2fg_4_0"/>
      <w:bookmarkStart w:id="959" w:name="Tc_OmfNFfZOfECjdmR1ZkoZRg_3_4"/>
      <w:bookmarkStart w:id="960" w:name="Tc_30HFZZT6YUWpN0Uvsa1zwA_3_2"/>
      <w:bookmarkStart w:id="961" w:name="Tc_w6Dm9vNatk6NALcz9kzXEg_2_4"/>
      <w:bookmarkStart w:id="962" w:name="Tc_aWbgA7gGfkS-avaUkue6ww_2_2"/>
      <w:bookmarkStart w:id="963" w:name="Tc_EloRjOFxakuIm0w49y5w3Q_1_4"/>
      <w:bookmarkStart w:id="964" w:name="Tc_5ZUq38ePh0qbSXYIlimNNw_1_2"/>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rFonts w:ascii="Times New Roman;Times;serif" w:hAnsi="Times New Roman;Times;serif"/>
          <w:sz w:val="20"/>
        </w:rPr>
        <w:t>Maturities of lease liabilities were as follows:</w:t>
      </w:r>
    </w:p>
    <w:p>
      <w:pPr>
        <w:pStyle w:val="TextBody"/>
        <w:bidi w:val="0"/>
        <w:spacing w:lineRule="auto" w:line="285" w:before="0" w:after="240"/>
        <w:ind w:left="0" w:right="0" w:firstLine="720"/>
        <w:jc w:val="left"/>
        <w:rPr/>
      </w:pPr>
      <w:r>
        <w:rPr/>
        <w:t>​</w:t>
      </w:r>
    </w:p>
    <w:tbl>
      <w:tblPr>
        <w:tblW w:w="6380" w:type="dxa"/>
        <w:jc w:val="left"/>
        <w:tblInd w:w="0" w:type="dxa"/>
        <w:tblLayout w:type="fixed"/>
        <w:tblCellMar>
          <w:top w:w="0" w:type="dxa"/>
          <w:left w:w="0" w:type="dxa"/>
          <w:bottom w:w="0" w:type="dxa"/>
          <w:right w:w="0" w:type="dxa"/>
        </w:tblCellMar>
      </w:tblPr>
      <w:tblGrid>
        <w:gridCol w:w="2986"/>
        <w:gridCol w:w="346"/>
        <w:gridCol w:w="1516"/>
        <w:gridCol w:w="346"/>
        <w:gridCol w:w="11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896110" cy="175260"/>
                      <wp:effectExtent l="0" t="0" r="0" b="0"/>
                      <wp:wrapNone/>
                      <wp:docPr id="212" name="Frame202"/>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62660" cy="175260"/>
                      <wp:effectExtent l="0" t="0" r="0" b="0"/>
                      <wp:wrapNone/>
                      <wp:docPr id="214" name="Frame20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53110" cy="175260"/>
                      <wp:effectExtent l="0" t="0" r="0" b="0"/>
                      <wp:wrapNone/>
                      <wp:docPr id="216" name="Frame20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304"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16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
              <w:ind w:left="0" w:right="0" w:hanging="0"/>
              <w:jc w:val="center"/>
              <w:rPr/>
            </w:pPr>
            <w:r>
              <w:rPr/>
              <w:t>  ​ ​ ​</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As of June 30,</w:t>
            </w:r>
          </w:p>
        </w:tc>
      </w:tr>
      <w:tr>
        <w:trPr/>
        <w:tc>
          <w:tcPr>
            <w:tcW w:w="298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304" w:before="0" w:after="1"/>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986" w:type="dxa"/>
            <w:tcBorders/>
            <w:vAlign w:val="center"/>
          </w:tcPr>
          <w:p>
            <w:pPr>
              <w:pStyle w:val="TableContents"/>
              <w:bidi w:val="0"/>
              <w:spacing w:lineRule="auto" w:line="304" w:before="0" w:after="160"/>
              <w:ind w:left="0" w:right="0" w:hanging="0"/>
              <w:jc w:val="left"/>
              <w:rPr/>
            </w:pPr>
            <w:r>
              <w:rPr/>
              <w:t>​</w:t>
            </w:r>
          </w:p>
        </w:tc>
        <w:tc>
          <w:tcPr>
            <w:tcW w:w="346" w:type="dxa"/>
            <w:tcBorders/>
            <w:vAlign w:val="center"/>
          </w:tcPr>
          <w:p>
            <w:pPr>
              <w:pStyle w:val="TableContents"/>
              <w:bidi w:val="0"/>
              <w:spacing w:lineRule="auto" w:line="304" w:before="0" w:after="160"/>
              <w:ind w:left="0" w:right="0" w:hanging="0"/>
              <w:jc w:val="center"/>
              <w:rPr/>
            </w:pPr>
            <w:r>
              <w:rPr/>
              <w:t>​</w:t>
            </w:r>
          </w:p>
        </w:tc>
        <w:tc>
          <w:tcPr>
            <w:tcW w:w="151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8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95,863</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79,144</w:t>
            </w:r>
          </w:p>
        </w:tc>
      </w:tr>
      <w:tr>
        <w:trPr/>
        <w:tc>
          <w:tcPr>
            <w:tcW w:w="298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54,322</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167,557</w:t>
            </w:r>
          </w:p>
        </w:tc>
      </w:tr>
      <w:tr>
        <w:trPr/>
        <w:tc>
          <w:tcPr>
            <w:tcW w:w="298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516" w:type="dxa"/>
            <w:tcBorders/>
            <w:shd w:fill="CCEEFF" w:val="clear"/>
            <w:vAlign w:val="center"/>
          </w:tcPr>
          <w:p>
            <w:pPr>
              <w:pStyle w:val="TableContents"/>
              <w:bidi w:val="0"/>
              <w:spacing w:lineRule="auto" w:line="304" w:before="0" w:after="1"/>
              <w:ind w:left="0" w:right="0" w:hanging="0"/>
              <w:jc w:val="right"/>
              <w:rPr/>
            </w:pPr>
            <w:r>
              <w:rPr/>
              <w:t>—</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111,497</w:t>
            </w:r>
          </w:p>
        </w:tc>
      </w:tr>
      <w:tr>
        <w:trPr/>
        <w:tc>
          <w:tcPr>
            <w:tcW w:w="298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304" w:before="0" w:after="160"/>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pPr>
            <w:r>
              <w:rPr/>
              <w:t>—</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19,786</w:t>
            </w:r>
          </w:p>
        </w:tc>
      </w:tr>
      <w:tr>
        <w:trPr/>
        <w:tc>
          <w:tcPr>
            <w:tcW w:w="298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150,185</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shd w:fill="CCEEFF" w:val="cle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377,984</w:t>
            </w:r>
          </w:p>
        </w:tc>
      </w:tr>
      <w:tr>
        <w:trPr/>
        <w:tc>
          <w:tcPr>
            <w:tcW w:w="2986" w:type="dxa"/>
            <w:tcBorders/>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304"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(4,650)</w:t>
            </w:r>
          </w:p>
        </w:tc>
        <w:tc>
          <w:tcPr>
            <w:tcW w:w="346" w:type="dxa"/>
            <w:tcBorders/>
            <w:vAlign w:val="center"/>
          </w:tcPr>
          <w:p>
            <w:pPr>
              <w:pStyle w:val="TableContents"/>
              <w:bidi w:val="0"/>
              <w:spacing w:lineRule="auto" w:line="304" w:before="0" w:after="16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(13,062)</w:t>
            </w:r>
          </w:p>
        </w:tc>
      </w:tr>
      <w:tr>
        <w:trPr/>
        <w:tc>
          <w:tcPr>
            <w:tcW w:w="2986" w:type="dxa"/>
            <w:tcBorders/>
            <w:shd w:fill="CCEEFF" w:val="clear"/>
            <w:vAlign w:val="center"/>
          </w:tcPr>
          <w:p>
            <w:pPr>
              <w:pStyle w:val="TableContents"/>
              <w:bidi w:val="0"/>
              <w:spacing w:lineRule="auto" w:line="304" w:before="0" w:after="1"/>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shd w:fill="CCEEFF" w:val="clear"/>
            <w:vAlign w:val="center"/>
          </w:tcPr>
          <w:p>
            <w:pPr>
              <w:pStyle w:val="TableContents"/>
              <w:bidi w:val="0"/>
              <w:spacing w:lineRule="auto" w:line="304" w:before="0" w:after="1"/>
              <w:ind w:left="0" w:right="0" w:hanging="0"/>
              <w:jc w:val="left"/>
              <w:rPr/>
            </w:pPr>
            <w:r>
              <w:rPr/>
              <w:t> </w:t>
            </w:r>
          </w:p>
        </w:tc>
        <w:tc>
          <w:tcPr>
            <w:tcW w:w="1516" w:type="dxa"/>
            <w:tcBorders>
              <w:bottom w:val="double" w:sz="6" w:space="0" w:color="000000"/>
            </w:tcBorders>
            <w:shd w:fill="CCEEFF" w:val="clear"/>
            <w:tcMar>
              <w:bottom w:w="28" w:type="dxa"/>
            </w:tcMar>
            <w:vAlign w:val="center"/>
          </w:tcPr>
          <w:p>
            <w:pPr>
              <w:pStyle w:val="TableContents"/>
              <w:bidi w:val="0"/>
              <w:spacing w:lineRule="auto" w:line="304" w:before="0" w:after="1"/>
              <w:ind w:left="0" w:right="0" w:hanging="0"/>
              <w:jc w:val="right"/>
              <w:rPr>
                <w:rFonts w:ascii="Times New Roman;Times;serif" w:hAnsi="Times New Roman;Times;serif"/>
                <w:sz w:val="20"/>
              </w:rPr>
            </w:pPr>
            <w:r>
              <w:rPr>
                <w:rFonts w:ascii="Times New Roman;Times;serif" w:hAnsi="Times New Roman;Times;serif"/>
                <w:sz w:val="20"/>
              </w:rPr>
              <w:t>145,535</w:t>
            </w:r>
          </w:p>
        </w:tc>
        <w:tc>
          <w:tcPr>
            <w:tcW w:w="346" w:type="dxa"/>
            <w:tcBorders/>
            <w:shd w:fill="CCEEFF" w:val="clear"/>
            <w:vAlign w:val="center"/>
          </w:tcPr>
          <w:p>
            <w:pPr>
              <w:pStyle w:val="TableContents"/>
              <w:bidi w:val="0"/>
              <w:spacing w:lineRule="auto" w:line="304" w:before="0" w:after="16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lineRule="auto" w:line="304" w:before="0" w:after="1"/>
              <w:ind w:left="0" w:right="60" w:hanging="0"/>
              <w:jc w:val="right"/>
              <w:rPr>
                <w:rFonts w:ascii="Times New Roman;Times;serif" w:hAnsi="Times New Roman;Times;serif"/>
                <w:sz w:val="20"/>
              </w:rPr>
            </w:pPr>
            <w:r>
              <w:rPr>
                <w:rFonts w:ascii="Times New Roman;Times;serif" w:hAnsi="Times New Roman;Times;serif"/>
                <w:sz w:val="20"/>
              </w:rPr>
              <w:t>364,922</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pPr>
      <w:r>
        <w:rPr/>
        <w:t>​</w:t>
      </w:r>
    </w:p>
    <w:p>
      <w:pPr>
        <w:pStyle w:val="TextBody"/>
        <w:bidi w:val="0"/>
        <w:spacing w:lineRule="auto" w:line="304" w:before="0" w:after="240"/>
        <w:ind w:left="0" w:right="0" w:hanging="0"/>
        <w:jc w:val="left"/>
        <w:rPr>
          <w:rFonts w:ascii="Times New Roman;Times;serif" w:hAnsi="Times New Roman;Times;serif"/>
          <w:b/>
          <w:sz w:val="20"/>
        </w:rPr>
      </w:pPr>
      <w:r>
        <w:rPr>
          <w:rFonts w:ascii="Times New Roman;Times;serif" w:hAnsi="Times New Roman;Times;serif"/>
          <w:b/>
          <w:sz w:val="20"/>
        </w:rPr>
        <w:t>17. COMMITMENTS AND CONTINGENCIES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Contingencies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Group is currently not involved in any legal or administrative proceedings that may have a material adverse impact on the Group’s business, financial position or 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18. ORDINARY SHARES</w:t>
      </w:r>
    </w:p>
    <w:p>
      <w:pPr>
        <w:pStyle w:val="TextBody"/>
        <w:bidi w:val="0"/>
        <w:spacing w:lineRule="auto" w:line="285" w:before="0" w:after="240"/>
        <w:ind w:left="0" w:right="0" w:firstLine="720"/>
        <w:jc w:val="left"/>
        <w:rPr>
          <w:rFonts w:ascii="Times New Roman;Times;serif" w:hAnsi="Times New Roman;Times;serif"/>
          <w:sz w:val="22"/>
        </w:rPr>
      </w:pPr>
      <w:r>
        <w:rPr>
          <w:rFonts w:ascii="Times New Roman;Times;serif" w:hAnsi="Times New Roman;Times;serif"/>
          <w:sz w:val="20"/>
        </w:rPr>
        <w:t>On April 2, 2026, the Company entered into an underwriting agreement with Leerink Partners LLC (“Leerink Partners”) and LifeSci Capital LLC, pursuant to which the Company agreed to issue and sell in an underwritten public offering (the “Offering”) an aggregate of 18,666,000</w:t>
      </w:r>
      <w:r>
        <w:rPr>
          <w:rFonts w:ascii="Times New Roman;Times;serif" w:hAnsi="Times New Roman;Times;serif"/>
          <w:sz w:val="22"/>
        </w:rPr>
        <w:t xml:space="preserve"> </w:t>
      </w:r>
      <w:r>
        <w:rPr>
          <w:rFonts w:ascii="Times New Roman;Times;serif" w:hAnsi="Times New Roman;Times;serif"/>
          <w:sz w:val="20"/>
        </w:rPr>
        <w:t>ADSs (23,332,500</w:t>
      </w:r>
      <w:r>
        <w:rPr>
          <w:rFonts w:ascii="Times New Roman;Times;serif" w:hAnsi="Times New Roman;Times;serif"/>
          <w:sz w:val="22"/>
        </w:rPr>
        <w:t xml:space="preserve"> </w:t>
      </w:r>
      <w:r>
        <w:rPr>
          <w:rFonts w:ascii="Times New Roman;Times;serif" w:hAnsi="Times New Roman;Times;serif"/>
          <w:sz w:val="20"/>
        </w:rPr>
        <w:t>ordinary shares) at the offering price of US$3.75</w:t>
      </w:r>
      <w:r>
        <w:rPr>
          <w:rFonts w:ascii="Times New Roman;Times;serif" w:hAnsi="Times New Roman;Times;serif"/>
          <w:sz w:val="22"/>
        </w:rPr>
        <w:t xml:space="preserve"> </w:t>
      </w:r>
      <w:r>
        <w:rPr>
          <w:rFonts w:ascii="Times New Roman;Times;serif" w:hAnsi="Times New Roman;Times;serif"/>
          <w:sz w:val="20"/>
        </w:rPr>
        <w:t xml:space="preserve">per ADS, representing the </w:t>
      </w:r>
      <w:r>
        <w:rPr>
          <w:rFonts w:ascii="Times New Roman;Times;serif" w:hAnsi="Times New Roman;Times;serif"/>
          <w:b w:val="false"/>
          <w:i w:val="false"/>
          <w:caps w:val="false"/>
          <w:smallCaps w:val="false"/>
          <w:sz w:val="20"/>
        </w:rPr>
        <w:t>30-day</w:t>
      </w:r>
      <w:r>
        <w:rPr>
          <w:rFonts w:ascii="Times New Roman;Times;serif" w:hAnsi="Times New Roman;Times;serif"/>
          <w:sz w:val="22"/>
        </w:rPr>
        <w:t xml:space="preserve"> </w:t>
      </w:r>
      <w:r>
        <w:rPr>
          <w:rFonts w:ascii="Times New Roman;Times;serif" w:hAnsi="Times New Roman;Times;serif"/>
          <w:sz w:val="20"/>
        </w:rPr>
        <w:t>volume-weighted average price. All of the securities are being sold by the Company. The Offering was closed on April 6, 2026 with net proceeds of US$65.8</w:t>
      </w:r>
      <w:r>
        <w:rPr>
          <w:rFonts w:ascii="Times New Roman;Times;serif" w:hAnsi="Times New Roman;Times;serif"/>
          <w:sz w:val="22"/>
        </w:rPr>
        <w:t xml:space="preserve"> </w:t>
      </w:r>
      <w:r>
        <w:rPr>
          <w:rFonts w:ascii="Times New Roman;Times;serif" w:hAnsi="Times New Roman;Times;serif"/>
          <w:sz w:val="20"/>
        </w:rPr>
        <w:t>million received by the Company. Direct cost associated with the Offering was capitalized and netted against additional paid-in capital.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March 2024, the Company entered into a sales agreement with Leerink Partners relating to the sale of the Company’s ADSs. A prospectus supplement was filed with the Securities and Exchange Commission for the sale of ADSs having an aggregate offering price of up to US$100 million from time to time. Direct cost associated with the offer and the sale were capitalized and netted against additional paid-in capital. During the six months ended June 30, 2025, no ADSs were issued or sold under the at-the-market equity offering (the “ATM Offering”). For the six months ended June 30, 2026, 830,202 ADSs (1,037,753 ordinary shares) were issued and sold under the ATM Offering and the proceeds were received by the Company. Direct cost associated with the offer and the sale were capitalized and netted against additional paid-in capital.</w:t>
      </w:r>
    </w:p>
    <w:p>
      <w:pPr>
        <w:pStyle w:val="TextBody"/>
        <w:bidi w:val="0"/>
        <w:spacing w:lineRule="auto" w:line="304" w:before="0" w:after="16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F-32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20167</Words>
  <Characters>114726</Characters>
  <CharactersWithSpaces>135680</CharactersWithSpaces>
  <Paragraphs>3639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