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Adagene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US$0.0001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WuXi PharmaTech Healthcare Fund I L.P. </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2,891,594.00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2,891,594.00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2,891,594.00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WuXi AppTec Co., Ltd. </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2,891,594.00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2,891,594.00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2,891,594.00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6"/>
        <w:gridCol w:w="8914"/>
        <w:gridCol w:w="155"/>
      </w:tblGrid>
      <w:tr>
        <w:trPr/>
        <w:tc>
          <w:tcPr>
            <w:tcW w:w="1136" w:type="dxa"/>
            <w:tcBorders/>
            <w:vAlign w:val="center"/>
          </w:tcPr>
          <w:p>
            <w:pPr>
              <w:pStyle w:val="TableContents"/>
              <w:bidi w:val="0"/>
              <w:spacing w:before="0" w:after="283"/>
              <w:jc w:val="left"/>
              <w:rPr/>
            </w:pPr>
            <w:r>
              <w:rPr/>
              <w:t>Item 1.</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issuer: </w:t>
            </w:r>
          </w:p>
          <w:p>
            <w:pPr>
              <w:pStyle w:val="TableContents"/>
              <w:bidi w:val="0"/>
              <w:spacing w:before="0" w:after="0"/>
              <w:jc w:val="left"/>
              <w:rPr/>
            </w:pPr>
            <w:r>
              <w:rPr/>
              <w:t>Adagene Inc.</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4F, Building C14, No. 218, Xinghu Street, Suzhou Industrial Park, Suzhou, Jiangsu Province, F4, 215123.</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2.</w:t>
            </w:r>
          </w:p>
        </w:tc>
        <w:tc>
          <w:tcPr>
            <w:tcW w:w="891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WuXi PharmaTech Healthcare Fund I L.P. ("PharmaTech") WuXi AppTec Co., Ltd. ("AppTec Co") The Reporting Persons expressly disclaim status as a "group" for purposes of this Schedule 13G.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288 Fute Zhong Road Pudong New Area Shanghai 200131, China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jc w:val="left"/>
              <w:rPr/>
            </w:pPr>
            <w:r>
              <w:rPr/>
              <w:t xml:space="preserve">Citizenship: </w:t>
            </w:r>
          </w:p>
          <w:p>
            <w:pPr>
              <w:pStyle w:val="TableContents"/>
              <w:bidi w:val="0"/>
              <w:spacing w:before="0" w:after="0"/>
              <w:jc w:val="left"/>
              <w:rPr/>
            </w:pPr>
            <w:r>
              <w:rPr/>
              <w:t>PharmaTech Cayman Islands AppTec Co China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US$0.0001 per share</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3.</w:t>
            </w:r>
          </w:p>
        </w:tc>
        <w:tc>
          <w:tcPr>
            <w:tcW w:w="891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(d)</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(e)</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(f)</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(g)</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(h)</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(j)</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(k)</w:t>
            </w:r>
          </w:p>
        </w:tc>
        <w:tc>
          <w:tcPr>
            <w:tcW w:w="891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9069" w:type="dxa"/>
            <w:gridSpan w:val="2"/>
            <w:tcBorders/>
            <w:vAlign w:val="center"/>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4.</w:t>
            </w:r>
          </w:p>
        </w:tc>
        <w:tc>
          <w:tcPr>
            <w:tcW w:w="891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(a)</w:t>
            </w:r>
          </w:p>
        </w:tc>
        <w:tc>
          <w:tcPr>
            <w:tcW w:w="891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CUSIP Number 005329107 has been assigned to the American Depositary Shares ("ADS") of the Issuer, which are quoted on the Nasdaq Global Market under the symbol "ADAG". Each ADS represents 1.25 ordinary shares of the Issuer. No CUSIP has been assigned to the Issuer's ordinary shares. Row 9 of each Reporting Person's cover page to this Schedule 13G sets forth the aggregate number of ordinary shares of the Issuer beneficially owned by such Reporting Person as of June 30, 2026 and is incorporated by reference. PharmaTech directly holds 2,891,594 ordinary shares held in the form of 2,313,275 ADS. AppTec Co is the indirect parent company, and ultimate beneficial owner of, PharmaTech and shares voting and investment authority over these shares.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(b)</w:t>
            </w:r>
          </w:p>
        </w:tc>
        <w:tc>
          <w:tcPr>
            <w:tcW w:w="891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ordinary shares of the Issuer beneficially owned by such Reporting Person as of June 30, 2026 and is incorporated by reference. The percentage set forth in each row 11 is based upon 82,564,493 ordinary shares outstanding (including in the form of American Depositary Shares) as of April 6, 2026, as reported in the Issuer's prospectus supplement dated April 2, 2026 filed with the Securities and Exchange Commission (the "SEC") on April 2, 2026.  %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(c)</w:t>
            </w:r>
          </w:p>
        </w:tc>
        <w:tc>
          <w:tcPr>
            <w:tcW w:w="891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5.</w:t>
            </w:r>
          </w:p>
        </w:tc>
        <w:tc>
          <w:tcPr>
            <w:tcW w:w="891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6.</w:t>
            </w:r>
          </w:p>
        </w:tc>
        <w:tc>
          <w:tcPr>
            <w:tcW w:w="891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7.</w:t>
            </w:r>
          </w:p>
        </w:tc>
        <w:tc>
          <w:tcPr>
            <w:tcW w:w="891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8.</w:t>
            </w:r>
          </w:p>
        </w:tc>
        <w:tc>
          <w:tcPr>
            <w:tcW w:w="891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Item 9.</w:t>
            </w:r>
          </w:p>
        </w:tc>
        <w:tc>
          <w:tcPr>
            <w:tcW w:w="891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6"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42" w:type="dxa"/>
        <w:jc w:val="left"/>
        <w:tblInd w:w="0" w:type="dxa"/>
        <w:tblLayout w:type="fixed"/>
        <w:tblCellMar>
          <w:top w:w="28" w:type="dxa"/>
          <w:left w:w="28" w:type="dxa"/>
          <w:bottom w:w="28" w:type="dxa"/>
          <w:right w:w="28" w:type="dxa"/>
        </w:tblCellMar>
      </w:tblPr>
      <w:tblGrid>
        <w:gridCol w:w="4471"/>
        <w:gridCol w:w="4471"/>
      </w:tblGrid>
      <w:tr>
        <w:trPr/>
        <w:tc>
          <w:tcPr>
            <w:tcW w:w="4471" w:type="dxa"/>
            <w:tcBorders/>
            <w:vAlign w:val="center"/>
          </w:tcPr>
          <w:p>
            <w:pPr>
              <w:pStyle w:val="TableContents"/>
              <w:bidi w:val="0"/>
              <w:spacing w:before="0" w:after="0"/>
              <w:jc w:val="left"/>
              <w:rPr/>
            </w:pPr>
            <w:r>
              <w:rPr/>
              <w:t> </w:t>
            </w:r>
          </w:p>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0"/>
                    <w:jc w:val="left"/>
                    <w:rPr/>
                  </w:pPr>
                  <w:r>
                    <w:rPr/>
                    <w:t xml:space="preserve">WuXi PharmaTech Healthcare Fund I L.P. </w:t>
                  </w:r>
                </w:p>
              </w:tc>
            </w:tr>
          </w:tbl>
          <w:p>
            <w:pPr>
              <w:pStyle w:val="TableContents"/>
              <w:bidi w:val="0"/>
              <w:spacing w:before="0" w:after="283"/>
              <w:jc w:val="left"/>
              <w:rPr/>
            </w:pPr>
            <w:r>
              <w:rPr/>
            </w:r>
          </w:p>
        </w:tc>
        <w:tc>
          <w:tcPr>
            <w:tcW w:w="44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5"/>
        <w:gridCol w:w="4510"/>
      </w:tblGrid>
      <w:tr>
        <w:trPr/>
        <w:tc>
          <w:tcPr>
            <w:tcW w:w="56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Ming Shi</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Ming Shi,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510" w:type="dxa"/>
            <w:tcBorders/>
            <w:vAlign w:val="center"/>
          </w:tcPr>
          <w:p>
            <w:pPr>
              <w:pStyle w:val="TableContents"/>
              <w:bidi w:val="0"/>
              <w:spacing w:before="0" w:after="283"/>
              <w:jc w:val="left"/>
              <w:rPr>
                <w:sz w:val="4"/>
                <w:szCs w:val="4"/>
              </w:rPr>
            </w:pPr>
            <w:r>
              <w:rPr>
                <w:sz w:val="4"/>
                <w:szCs w:val="4"/>
              </w:rPr>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 xml:space="preserve">WuXi AppTec Co., Ltd. </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5"/>
        <w:gridCol w:w="4510"/>
      </w:tblGrid>
      <w:tr>
        <w:trPr/>
        <w:tc>
          <w:tcPr>
            <w:tcW w:w="56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Ming Shi</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Ming Shi,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5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by WuXi PharmaTech Healthcare Fund I L.P. and WuXi AppTec Co., Ltd., dated as of January 7, 2021 (incorporate by reference to Exhibit 99.1 from Schedule 13G filed by the Reporting Persons on January 8, 2021).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1260</Words>
  <Characters>6448</Characters>
  <CharactersWithSpaces>7689</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