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12-1_4seq1.xml.htm"/>
      <w:bookmarkStart w:id="1" w:name="kstm262591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 CHUNFANG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4F, BUILDING C14, NO. 218 XINGHU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SUZHOU JIANGSU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ADAG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Director of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2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(ADSs)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23, 2026, 6,250 ADSs (equivalent to 7,813 RSUs on an ordinary share basis) vested, of which 475 ADSs were sold for tax withholding, resulting in 5,775 ADSs received.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15,625 of Restricted Stock Units ("RSUs") on an ordinary share basis granted under the Adagene Inc. 2021 Performance Incentive Plan. 50% of RSUs shall vest on 7/23/2027and 7/23/2028,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Chunfang GU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8105" TargetMode="External"/><Relationship Id="rId5" Type="http://schemas.openxmlformats.org/officeDocument/2006/relationships/hyperlink" Target="http://www.sec.gov/cgi-bin/browse-edgar?action=getcompany&amp;CIK=0001818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3421</Characters>
  <CharactersWithSpaces>3984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