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0002108105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4"/>
        <w:gridCol w:w="4821"/>
      </w:tblGrid>
      <w:tr>
        <w:trPr/>
        <w:tc>
          <w:tcPr>
            <w:tcW w:w="5384" w:type="dxa"/>
            <w:tcBorders/>
            <w:vAlign w:val="center"/>
          </w:tcPr>
          <w:p>
            <w:pPr>
              <w:pStyle w:val="TableContents"/>
              <w:bidi w:val="0"/>
              <w:spacing w:before="0" w:after="283"/>
              <w:jc w:val="left"/>
              <w:rPr/>
            </w:pPr>
            <w:r>
              <w:rPr/>
              <w:t>Name of Issuer</w:t>
            </w:r>
          </w:p>
        </w:tc>
        <w:tc>
          <w:tcPr>
            <w:tcW w:w="4821" w:type="dxa"/>
            <w:tcBorders/>
            <w:vAlign w:val="center"/>
          </w:tcPr>
          <w:p>
            <w:pPr>
              <w:pStyle w:val="TableContents"/>
              <w:bidi w:val="0"/>
              <w:spacing w:before="0" w:after="0"/>
              <w:jc w:val="left"/>
              <w:rPr/>
            </w:pPr>
            <w:r>
              <w:rPr/>
              <w:t>Adagene Inc.</w:t>
            </w:r>
          </w:p>
        </w:tc>
      </w:tr>
      <w:tr>
        <w:trPr/>
        <w:tc>
          <w:tcPr>
            <w:tcW w:w="5384" w:type="dxa"/>
            <w:tcBorders/>
            <w:vAlign w:val="center"/>
          </w:tcPr>
          <w:p>
            <w:pPr>
              <w:pStyle w:val="TableContents"/>
              <w:bidi w:val="0"/>
              <w:spacing w:before="0" w:after="283"/>
              <w:jc w:val="left"/>
              <w:rPr/>
            </w:pPr>
            <w:r>
              <w:rPr/>
              <w:t>SEC File Number</w:t>
            </w:r>
          </w:p>
        </w:tc>
        <w:tc>
          <w:tcPr>
            <w:tcW w:w="4821" w:type="dxa"/>
            <w:tcBorders/>
            <w:vAlign w:val="center"/>
          </w:tcPr>
          <w:p>
            <w:pPr>
              <w:pStyle w:val="TableContents"/>
              <w:bidi w:val="0"/>
              <w:spacing w:before="0" w:after="0"/>
              <w:jc w:val="left"/>
              <w:rPr/>
            </w:pPr>
            <w:r>
              <w:rPr/>
              <w:t>001-39997</w:t>
            </w:r>
          </w:p>
        </w:tc>
      </w:tr>
      <w:tr>
        <w:trPr/>
        <w:tc>
          <w:tcPr>
            <w:tcW w:w="5384" w:type="dxa"/>
            <w:tcBorders/>
            <w:vAlign w:val="center"/>
          </w:tcPr>
          <w:p>
            <w:pPr>
              <w:pStyle w:val="TableContents"/>
              <w:bidi w:val="0"/>
              <w:spacing w:before="0" w:after="283"/>
              <w:jc w:val="left"/>
              <w:rPr/>
            </w:pPr>
            <w:r>
              <w:rPr/>
              <w:t>Address of Issuer</w:t>
            </w:r>
          </w:p>
        </w:tc>
        <w:tc>
          <w:tcPr>
            <w:tcW w:w="4821" w:type="dxa"/>
            <w:tcBorders/>
            <w:vAlign w:val="center"/>
          </w:tcPr>
          <w:p>
            <w:pPr>
              <w:pStyle w:val="TableContents"/>
              <w:bidi w:val="0"/>
              <w:spacing w:before="0" w:after="0"/>
              <w:jc w:val="left"/>
              <w:rPr/>
            </w:pPr>
            <w:r>
              <w:rPr/>
              <w:t>4F, BUILDING C14, NO. 218, XINGHU STREET</w:t>
              <w:br/>
              <w:t>SUZHOU INDUSTRIAL PARK</w:t>
              <w:br/>
              <w:t>JIANGSU</w:t>
              <w:br/>
              <w:t xml:space="preserve">CHINA </w:t>
              <w:br/>
              <w:t>00000</w:t>
            </w:r>
          </w:p>
        </w:tc>
      </w:tr>
      <w:tr>
        <w:trPr/>
        <w:tc>
          <w:tcPr>
            <w:tcW w:w="5384" w:type="dxa"/>
            <w:tcBorders/>
            <w:vAlign w:val="center"/>
          </w:tcPr>
          <w:p>
            <w:pPr>
              <w:pStyle w:val="TableContents"/>
              <w:bidi w:val="0"/>
              <w:spacing w:before="0" w:after="283"/>
              <w:jc w:val="left"/>
              <w:rPr/>
            </w:pPr>
            <w:r>
              <w:rPr/>
              <w:t>Phone</w:t>
            </w:r>
          </w:p>
        </w:tc>
        <w:tc>
          <w:tcPr>
            <w:tcW w:w="4821" w:type="dxa"/>
            <w:tcBorders/>
            <w:vAlign w:val="center"/>
          </w:tcPr>
          <w:p>
            <w:pPr>
              <w:pStyle w:val="TableContents"/>
              <w:bidi w:val="0"/>
              <w:spacing w:before="0" w:after="0"/>
              <w:jc w:val="left"/>
              <w:rPr/>
            </w:pPr>
            <w:r>
              <w:rPr/>
              <w:t>86-512-87773632</w:t>
            </w:r>
          </w:p>
        </w:tc>
      </w:tr>
      <w:tr>
        <w:trPr/>
        <w:tc>
          <w:tcPr>
            <w:tcW w:w="5384" w:type="dxa"/>
            <w:tcBorders/>
            <w:vAlign w:val="center"/>
          </w:tcPr>
          <w:p>
            <w:pPr>
              <w:pStyle w:val="TableContents"/>
              <w:bidi w:val="0"/>
              <w:spacing w:before="0" w:after="283"/>
              <w:jc w:val="left"/>
              <w:rPr/>
            </w:pPr>
            <w:r>
              <w:rPr/>
              <w:t>Name of Person for Whose Account the Securities are To Be Sold</w:t>
            </w:r>
          </w:p>
        </w:tc>
        <w:tc>
          <w:tcPr>
            <w:tcW w:w="4821" w:type="dxa"/>
            <w:tcBorders/>
            <w:vAlign w:val="center"/>
          </w:tcPr>
          <w:p>
            <w:pPr>
              <w:pStyle w:val="TableContents"/>
              <w:bidi w:val="0"/>
              <w:spacing w:before="0" w:after="0"/>
              <w:jc w:val="left"/>
              <w:rPr/>
            </w:pPr>
            <w:r>
              <w:rPr/>
              <w:t>GU CHUNFANG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4" w:type="dxa"/>
            <w:tcBorders/>
            <w:vAlign w:val="center"/>
          </w:tcPr>
          <w:p>
            <w:pPr>
              <w:pStyle w:val="TableContents"/>
              <w:bidi w:val="0"/>
              <w:spacing w:before="0" w:after="283"/>
              <w:jc w:val="left"/>
              <w:rPr/>
            </w:pPr>
            <w:r>
              <w:rPr/>
              <w:t>Relationship to Issuer</w:t>
            </w:r>
          </w:p>
        </w:tc>
        <w:tc>
          <w:tcPr>
            <w:tcW w:w="48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2140"/>
        <w:gridCol w:w="1500"/>
        <w:gridCol w:w="1057"/>
        <w:gridCol w:w="1258"/>
        <w:gridCol w:w="1452"/>
        <w:gridCol w:w="1507"/>
        <w:gridCol w:w="1291"/>
      </w:tblGrid>
      <w:tr>
        <w:trPr/>
        <w:tc>
          <w:tcPr>
            <w:tcW w:w="2140" w:type="dxa"/>
            <w:tcBorders/>
            <w:vAlign w:val="center"/>
          </w:tcPr>
          <w:p>
            <w:pPr>
              <w:pStyle w:val="TableHeading"/>
              <w:suppressLineNumbers/>
              <w:bidi w:val="0"/>
              <w:spacing w:before="0" w:after="283"/>
              <w:jc w:val="center"/>
              <w:rPr/>
            </w:pPr>
            <w:r>
              <w:rPr/>
              <w:t>Title of the Class of Securities To Be Sold</w:t>
            </w:r>
          </w:p>
        </w:tc>
        <w:tc>
          <w:tcPr>
            <w:tcW w:w="1500" w:type="dxa"/>
            <w:tcBorders/>
            <w:vAlign w:val="center"/>
          </w:tcPr>
          <w:p>
            <w:pPr>
              <w:pStyle w:val="TableHeading"/>
              <w:suppressLineNumbers/>
              <w:bidi w:val="0"/>
              <w:spacing w:before="0" w:after="283"/>
              <w:jc w:val="center"/>
              <w:rPr/>
            </w:pPr>
            <w:r>
              <w:rPr/>
              <w:t>Name and Address of the Broker</w:t>
            </w:r>
          </w:p>
        </w:tc>
        <w:tc>
          <w:tcPr>
            <w:tcW w:w="1057" w:type="dxa"/>
            <w:tcBorders/>
            <w:vAlign w:val="center"/>
          </w:tcPr>
          <w:p>
            <w:pPr>
              <w:pStyle w:val="TableHeading"/>
              <w:suppressLineNumbers/>
              <w:bidi w:val="0"/>
              <w:spacing w:before="0" w:after="283"/>
              <w:jc w:val="center"/>
              <w:rPr/>
            </w:pPr>
            <w:r>
              <w:rPr/>
              <w:t>Number of Shares or Other Units To Be Sold</w:t>
            </w:r>
          </w:p>
        </w:tc>
        <w:tc>
          <w:tcPr>
            <w:tcW w:w="1258" w:type="dxa"/>
            <w:tcBorders/>
            <w:vAlign w:val="center"/>
          </w:tcPr>
          <w:p>
            <w:pPr>
              <w:pStyle w:val="TableHeading"/>
              <w:suppressLineNumbers/>
              <w:bidi w:val="0"/>
              <w:spacing w:before="0" w:after="283"/>
              <w:jc w:val="center"/>
              <w:rPr/>
            </w:pPr>
            <w:r>
              <w:rPr/>
              <w:t>Aggregate Market Value</w:t>
            </w:r>
          </w:p>
        </w:tc>
        <w:tc>
          <w:tcPr>
            <w:tcW w:w="1452" w:type="dxa"/>
            <w:tcBorders/>
            <w:vAlign w:val="center"/>
          </w:tcPr>
          <w:p>
            <w:pPr>
              <w:pStyle w:val="TableHeading"/>
              <w:suppressLineNumbers/>
              <w:bidi w:val="0"/>
              <w:spacing w:before="0" w:after="283"/>
              <w:jc w:val="center"/>
              <w:rPr/>
            </w:pPr>
            <w:r>
              <w:rPr/>
              <w:t>Number of Shares or Other Units Outstanding</w:t>
            </w:r>
          </w:p>
        </w:tc>
        <w:tc>
          <w:tcPr>
            <w:tcW w:w="1507" w:type="dxa"/>
            <w:tcBorders/>
            <w:vAlign w:val="center"/>
          </w:tcPr>
          <w:p>
            <w:pPr>
              <w:pStyle w:val="TableHeading"/>
              <w:suppressLineNumbers/>
              <w:bidi w:val="0"/>
              <w:spacing w:before="0" w:after="283"/>
              <w:jc w:val="center"/>
              <w:rPr/>
            </w:pPr>
            <w:r>
              <w:rPr/>
              <w:t>Approximate Date of Sale</w:t>
            </w:r>
          </w:p>
        </w:tc>
        <w:tc>
          <w:tcPr>
            <w:tcW w:w="1291" w:type="dxa"/>
            <w:tcBorders/>
            <w:vAlign w:val="center"/>
          </w:tcPr>
          <w:p>
            <w:pPr>
              <w:pStyle w:val="TableHeading"/>
              <w:suppressLineNumbers/>
              <w:bidi w:val="0"/>
              <w:spacing w:before="0" w:after="283"/>
              <w:jc w:val="center"/>
              <w:rPr/>
            </w:pPr>
            <w:r>
              <w:rPr/>
              <w:t>Name the Securities Exchange</w:t>
            </w:r>
          </w:p>
        </w:tc>
      </w:tr>
      <w:tr>
        <w:trPr/>
        <w:tc>
          <w:tcPr>
            <w:tcW w:w="2140" w:type="dxa"/>
            <w:tcBorders/>
            <w:vAlign w:val="center"/>
          </w:tcPr>
          <w:p>
            <w:pPr>
              <w:pStyle w:val="TableContents"/>
              <w:bidi w:val="0"/>
              <w:spacing w:before="0" w:after="283"/>
              <w:jc w:val="left"/>
              <w:rPr/>
            </w:pPr>
            <w:r>
              <w:rPr/>
              <w:t>ADS EACH REPRESENTING 1.25 ORDINARY SHARES, SOLD TO COVER COST</w:t>
            </w:r>
          </w:p>
        </w:tc>
        <w:tc>
          <w:tcPr>
            <w:tcW w:w="1500" w:type="dxa"/>
            <w:tcBorders/>
            <w:vAlign w:val="center"/>
          </w:tcPr>
          <w:p>
            <w:pPr>
              <w:pStyle w:val="TableContents"/>
              <w:bidi w:val="0"/>
              <w:spacing w:before="0" w:after="0"/>
              <w:jc w:val="left"/>
              <w:rPr/>
            </w:pPr>
            <w:r>
              <w:rPr/>
              <w:t>Futu Securities International (Hong Kong) Ltd</w:t>
              <w:br/>
              <w:t>34/F, United Centre</w:t>
              <w:br/>
              <w:t>95 Queensway</w:t>
              <w:br/>
              <w:t>Admiralty   K3   000000</w:t>
            </w:r>
          </w:p>
        </w:tc>
        <w:tc>
          <w:tcPr>
            <w:tcW w:w="1057" w:type="dxa"/>
            <w:tcBorders/>
            <w:vAlign w:val="center"/>
          </w:tcPr>
          <w:p>
            <w:pPr>
              <w:pStyle w:val="TableContents"/>
              <w:bidi w:val="0"/>
              <w:spacing w:before="0" w:after="283"/>
              <w:jc w:val="left"/>
              <w:rPr/>
            </w:pPr>
            <w:r>
              <w:rPr/>
              <w:t>40000</w:t>
            </w:r>
          </w:p>
        </w:tc>
        <w:tc>
          <w:tcPr>
            <w:tcW w:w="1258" w:type="dxa"/>
            <w:tcBorders/>
            <w:vAlign w:val="center"/>
          </w:tcPr>
          <w:p>
            <w:pPr>
              <w:pStyle w:val="TableContents"/>
              <w:bidi w:val="0"/>
              <w:spacing w:before="0" w:after="283"/>
              <w:jc w:val="left"/>
              <w:rPr/>
            </w:pPr>
            <w:r>
              <w:rPr/>
              <w:t>158000.00</w:t>
            </w:r>
          </w:p>
        </w:tc>
        <w:tc>
          <w:tcPr>
            <w:tcW w:w="1452" w:type="dxa"/>
            <w:tcBorders/>
            <w:vAlign w:val="center"/>
          </w:tcPr>
          <w:p>
            <w:pPr>
              <w:pStyle w:val="TableContents"/>
              <w:bidi w:val="0"/>
              <w:spacing w:before="0" w:after="283"/>
              <w:jc w:val="left"/>
              <w:rPr/>
            </w:pPr>
            <w:r>
              <w:rPr/>
              <w:t>67143344</w:t>
            </w:r>
          </w:p>
        </w:tc>
        <w:tc>
          <w:tcPr>
            <w:tcW w:w="1507" w:type="dxa"/>
            <w:tcBorders/>
            <w:vAlign w:val="center"/>
          </w:tcPr>
          <w:p>
            <w:pPr>
              <w:pStyle w:val="TableContents"/>
              <w:bidi w:val="0"/>
              <w:spacing w:before="0" w:after="283"/>
              <w:jc w:val="left"/>
              <w:rPr/>
            </w:pPr>
            <w:r>
              <w:rPr/>
              <w:t>08/20/2026</w:t>
            </w:r>
          </w:p>
        </w:tc>
        <w:tc>
          <w:tcPr>
            <w:tcW w:w="1291" w:type="dxa"/>
            <w:tcBorders/>
            <w:vAlign w:val="center"/>
          </w:tcPr>
          <w:p>
            <w:pPr>
              <w:pStyle w:val="TableContents"/>
              <w:bidi w:val="0"/>
              <w:spacing w:before="0" w:after="0"/>
              <w:jc w:val="left"/>
              <w:rPr/>
            </w:pPr>
            <w:r>
              <w:rPr/>
              <w:t>NASDAQ</w:t>
            </w:r>
          </w:p>
        </w:tc>
      </w:tr>
      <w:tr>
        <w:trPr/>
        <w:tc>
          <w:tcPr>
            <w:tcW w:w="2140" w:type="dxa"/>
            <w:tcBorders/>
            <w:vAlign w:val="center"/>
          </w:tcPr>
          <w:p>
            <w:pPr>
              <w:pStyle w:val="TableContents"/>
              <w:bidi w:val="0"/>
              <w:spacing w:before="0" w:after="283"/>
              <w:jc w:val="left"/>
              <w:rPr/>
            </w:pPr>
            <w:r>
              <w:rPr/>
              <w:t>ADS EACH REPRESENTING 1.25 ORDINARY SHARES, SOLD TO COVER COST</w:t>
            </w:r>
          </w:p>
        </w:tc>
        <w:tc>
          <w:tcPr>
            <w:tcW w:w="1500" w:type="dxa"/>
            <w:tcBorders/>
            <w:vAlign w:val="center"/>
          </w:tcPr>
          <w:p>
            <w:pPr>
              <w:pStyle w:val="TableContents"/>
              <w:bidi w:val="0"/>
              <w:spacing w:before="0" w:after="0"/>
              <w:jc w:val="left"/>
              <w:rPr/>
            </w:pPr>
            <w:r>
              <w:rPr/>
              <w:t>Futu Securities International (Hong Kong) Ltd</w:t>
              <w:br/>
              <w:t>34/F, United Centre</w:t>
              <w:br/>
              <w:t>95 Queensway</w:t>
              <w:br/>
              <w:t>Admiralty   K3   000000</w:t>
            </w:r>
          </w:p>
        </w:tc>
        <w:tc>
          <w:tcPr>
            <w:tcW w:w="1057" w:type="dxa"/>
            <w:tcBorders/>
            <w:vAlign w:val="center"/>
          </w:tcPr>
          <w:p>
            <w:pPr>
              <w:pStyle w:val="TableContents"/>
              <w:bidi w:val="0"/>
              <w:spacing w:before="0" w:after="283"/>
              <w:jc w:val="left"/>
              <w:rPr/>
            </w:pPr>
            <w:r>
              <w:rPr/>
              <w:t>40000</w:t>
            </w:r>
          </w:p>
        </w:tc>
        <w:tc>
          <w:tcPr>
            <w:tcW w:w="1258" w:type="dxa"/>
            <w:tcBorders/>
            <w:vAlign w:val="center"/>
          </w:tcPr>
          <w:p>
            <w:pPr>
              <w:pStyle w:val="TableContents"/>
              <w:bidi w:val="0"/>
              <w:spacing w:before="0" w:after="283"/>
              <w:jc w:val="left"/>
              <w:rPr/>
            </w:pPr>
            <w:r>
              <w:rPr/>
              <w:t>158000.00</w:t>
            </w:r>
          </w:p>
        </w:tc>
        <w:tc>
          <w:tcPr>
            <w:tcW w:w="1452" w:type="dxa"/>
            <w:tcBorders/>
            <w:vAlign w:val="center"/>
          </w:tcPr>
          <w:p>
            <w:pPr>
              <w:pStyle w:val="TableContents"/>
              <w:bidi w:val="0"/>
              <w:spacing w:before="0" w:after="283"/>
              <w:jc w:val="left"/>
              <w:rPr/>
            </w:pPr>
            <w:r>
              <w:rPr/>
              <w:t>67143344</w:t>
            </w:r>
          </w:p>
        </w:tc>
        <w:tc>
          <w:tcPr>
            <w:tcW w:w="1507" w:type="dxa"/>
            <w:tcBorders/>
            <w:vAlign w:val="center"/>
          </w:tcPr>
          <w:p>
            <w:pPr>
              <w:pStyle w:val="TableContents"/>
              <w:bidi w:val="0"/>
              <w:spacing w:before="0" w:after="283"/>
              <w:jc w:val="left"/>
              <w:rPr/>
            </w:pPr>
            <w:r>
              <w:rPr/>
              <w:t>08/21/2026</w:t>
            </w:r>
          </w:p>
        </w:tc>
        <w:tc>
          <w:tcPr>
            <w:tcW w:w="1291" w:type="dxa"/>
            <w:tcBorders/>
            <w:vAlign w:val="center"/>
          </w:tcPr>
          <w:p>
            <w:pPr>
              <w:pStyle w:val="TableContents"/>
              <w:bidi w:val="0"/>
              <w:spacing w:before="0" w:after="0"/>
              <w:jc w:val="left"/>
              <w:rPr/>
            </w:pPr>
            <w:r>
              <w:rPr/>
              <w:t>NASDAQ</w:t>
            </w:r>
          </w:p>
        </w:tc>
      </w:tr>
      <w:tr>
        <w:trPr/>
        <w:tc>
          <w:tcPr>
            <w:tcW w:w="2140" w:type="dxa"/>
            <w:tcBorders/>
            <w:vAlign w:val="center"/>
          </w:tcPr>
          <w:p>
            <w:pPr>
              <w:pStyle w:val="TableContents"/>
              <w:bidi w:val="0"/>
              <w:spacing w:before="0" w:after="283"/>
              <w:jc w:val="left"/>
              <w:rPr/>
            </w:pPr>
            <w:r>
              <w:rPr/>
              <w:t>ADS EACH REPRESENTING 1.25 ORDINARY SHARES, SOLD TO COVER COST</w:t>
            </w:r>
          </w:p>
        </w:tc>
        <w:tc>
          <w:tcPr>
            <w:tcW w:w="1500" w:type="dxa"/>
            <w:tcBorders/>
            <w:vAlign w:val="center"/>
          </w:tcPr>
          <w:p>
            <w:pPr>
              <w:pStyle w:val="TableContents"/>
              <w:bidi w:val="0"/>
              <w:spacing w:before="0" w:after="0"/>
              <w:jc w:val="left"/>
              <w:rPr/>
            </w:pPr>
            <w:r>
              <w:rPr/>
              <w:t>Futu Securities International (Hong Kong) Ltd</w:t>
              <w:br/>
              <w:t>34/F, United Centre</w:t>
              <w:br/>
              <w:t>95 Queensway</w:t>
              <w:br/>
              <w:t>Admiralty   K3   000000</w:t>
            </w:r>
          </w:p>
        </w:tc>
        <w:tc>
          <w:tcPr>
            <w:tcW w:w="1057" w:type="dxa"/>
            <w:tcBorders/>
            <w:vAlign w:val="center"/>
          </w:tcPr>
          <w:p>
            <w:pPr>
              <w:pStyle w:val="TableContents"/>
              <w:bidi w:val="0"/>
              <w:spacing w:before="0" w:after="283"/>
              <w:jc w:val="left"/>
              <w:rPr/>
            </w:pPr>
            <w:r>
              <w:rPr/>
              <w:t>40000</w:t>
            </w:r>
          </w:p>
        </w:tc>
        <w:tc>
          <w:tcPr>
            <w:tcW w:w="1258" w:type="dxa"/>
            <w:tcBorders/>
            <w:vAlign w:val="center"/>
          </w:tcPr>
          <w:p>
            <w:pPr>
              <w:pStyle w:val="TableContents"/>
              <w:bidi w:val="0"/>
              <w:spacing w:before="0" w:after="283"/>
              <w:jc w:val="left"/>
              <w:rPr/>
            </w:pPr>
            <w:r>
              <w:rPr/>
              <w:t>158000.00</w:t>
            </w:r>
          </w:p>
        </w:tc>
        <w:tc>
          <w:tcPr>
            <w:tcW w:w="1452" w:type="dxa"/>
            <w:tcBorders/>
            <w:vAlign w:val="center"/>
          </w:tcPr>
          <w:p>
            <w:pPr>
              <w:pStyle w:val="TableContents"/>
              <w:bidi w:val="0"/>
              <w:spacing w:before="0" w:after="283"/>
              <w:jc w:val="left"/>
              <w:rPr/>
            </w:pPr>
            <w:r>
              <w:rPr/>
              <w:t>67143344</w:t>
            </w:r>
          </w:p>
        </w:tc>
        <w:tc>
          <w:tcPr>
            <w:tcW w:w="1507" w:type="dxa"/>
            <w:tcBorders/>
            <w:vAlign w:val="center"/>
          </w:tcPr>
          <w:p>
            <w:pPr>
              <w:pStyle w:val="TableContents"/>
              <w:bidi w:val="0"/>
              <w:spacing w:before="0" w:after="283"/>
              <w:jc w:val="left"/>
              <w:rPr/>
            </w:pPr>
            <w:r>
              <w:rPr/>
              <w:t>08/24/2026</w:t>
            </w:r>
          </w:p>
        </w:tc>
        <w:tc>
          <w:tcPr>
            <w:tcW w:w="1291" w:type="dxa"/>
            <w:tcBorders/>
            <w:vAlign w:val="center"/>
          </w:tcPr>
          <w:p>
            <w:pPr>
              <w:pStyle w:val="TableContents"/>
              <w:bidi w:val="0"/>
              <w:spacing w:before="0" w:after="0"/>
              <w:jc w:val="left"/>
              <w:rPr/>
            </w:pPr>
            <w:r>
              <w:rPr/>
              <w:t>NASDAQ</w:t>
            </w:r>
          </w:p>
        </w:tc>
      </w:tr>
      <w:tr>
        <w:trPr/>
        <w:tc>
          <w:tcPr>
            <w:tcW w:w="2140" w:type="dxa"/>
            <w:tcBorders/>
            <w:vAlign w:val="center"/>
          </w:tcPr>
          <w:p>
            <w:pPr>
              <w:pStyle w:val="TableContents"/>
              <w:bidi w:val="0"/>
              <w:spacing w:before="0" w:after="283"/>
              <w:jc w:val="left"/>
              <w:rPr/>
            </w:pPr>
            <w:r>
              <w:rPr/>
              <w:t>ADS EACH REPRESENTING 1.25 ORDINARY SHARES, SOLD TO COVER COST</w:t>
            </w:r>
          </w:p>
        </w:tc>
        <w:tc>
          <w:tcPr>
            <w:tcW w:w="1500" w:type="dxa"/>
            <w:tcBorders/>
            <w:vAlign w:val="center"/>
          </w:tcPr>
          <w:p>
            <w:pPr>
              <w:pStyle w:val="TableContents"/>
              <w:bidi w:val="0"/>
              <w:spacing w:before="0" w:after="0"/>
              <w:jc w:val="left"/>
              <w:rPr/>
            </w:pPr>
            <w:r>
              <w:rPr/>
              <w:t>Futu Securities International (Hong Kong) Ltd</w:t>
              <w:br/>
              <w:t>34/F, United Centre</w:t>
              <w:br/>
              <w:t>95 Queensway</w:t>
              <w:br/>
              <w:t>Admiralty   K3   000000</w:t>
            </w:r>
          </w:p>
        </w:tc>
        <w:tc>
          <w:tcPr>
            <w:tcW w:w="1057" w:type="dxa"/>
            <w:tcBorders/>
            <w:vAlign w:val="center"/>
          </w:tcPr>
          <w:p>
            <w:pPr>
              <w:pStyle w:val="TableContents"/>
              <w:bidi w:val="0"/>
              <w:spacing w:before="0" w:after="283"/>
              <w:jc w:val="left"/>
              <w:rPr/>
            </w:pPr>
            <w:r>
              <w:rPr/>
              <w:t>11000</w:t>
            </w:r>
          </w:p>
        </w:tc>
        <w:tc>
          <w:tcPr>
            <w:tcW w:w="1258" w:type="dxa"/>
            <w:tcBorders/>
            <w:vAlign w:val="center"/>
          </w:tcPr>
          <w:p>
            <w:pPr>
              <w:pStyle w:val="TableContents"/>
              <w:bidi w:val="0"/>
              <w:spacing w:before="0" w:after="283"/>
              <w:jc w:val="left"/>
              <w:rPr/>
            </w:pPr>
            <w:r>
              <w:rPr/>
              <w:t>43450.00</w:t>
            </w:r>
          </w:p>
        </w:tc>
        <w:tc>
          <w:tcPr>
            <w:tcW w:w="1452" w:type="dxa"/>
            <w:tcBorders/>
            <w:vAlign w:val="center"/>
          </w:tcPr>
          <w:p>
            <w:pPr>
              <w:pStyle w:val="TableContents"/>
              <w:bidi w:val="0"/>
              <w:spacing w:before="0" w:after="283"/>
              <w:jc w:val="left"/>
              <w:rPr/>
            </w:pPr>
            <w:r>
              <w:rPr/>
              <w:t>67143344</w:t>
            </w:r>
          </w:p>
        </w:tc>
        <w:tc>
          <w:tcPr>
            <w:tcW w:w="1507" w:type="dxa"/>
            <w:tcBorders/>
            <w:vAlign w:val="center"/>
          </w:tcPr>
          <w:p>
            <w:pPr>
              <w:pStyle w:val="TableContents"/>
              <w:bidi w:val="0"/>
              <w:spacing w:before="0" w:after="283"/>
              <w:jc w:val="left"/>
              <w:rPr/>
            </w:pPr>
            <w:r>
              <w:rPr/>
              <w:t>08/25/2026</w:t>
            </w:r>
          </w:p>
        </w:tc>
        <w:tc>
          <w:tcPr>
            <w:tcW w:w="12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29" w:type="dxa"/>
        <w:jc w:val="left"/>
        <w:tblInd w:w="0" w:type="dxa"/>
        <w:tblLayout w:type="fixed"/>
        <w:tblCellMar>
          <w:top w:w="28" w:type="dxa"/>
          <w:left w:w="28" w:type="dxa"/>
          <w:bottom w:w="28" w:type="dxa"/>
          <w:right w:w="28" w:type="dxa"/>
        </w:tblCellMar>
      </w:tblPr>
      <w:tblGrid>
        <w:gridCol w:w="1936"/>
        <w:gridCol w:w="1066"/>
        <w:gridCol w:w="1411"/>
        <w:gridCol w:w="1066"/>
        <w:gridCol w:w="496"/>
        <w:gridCol w:w="1066"/>
        <w:gridCol w:w="1081"/>
        <w:gridCol w:w="1006"/>
        <w:gridCol w:w="1201"/>
      </w:tblGrid>
      <w:tr>
        <w:trPr/>
        <w:tc>
          <w:tcPr>
            <w:tcW w:w="193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41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2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1066" w:type="dxa"/>
            <w:tcBorders/>
            <w:vAlign w:val="center"/>
          </w:tcPr>
          <w:p>
            <w:pPr>
              <w:pStyle w:val="TableContents"/>
              <w:bidi w:val="0"/>
              <w:spacing w:before="0" w:after="283"/>
              <w:jc w:val="left"/>
              <w:rPr/>
            </w:pPr>
            <w:r>
              <w:rPr/>
              <w:t>08/20/2026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40000</w:t>
            </w:r>
          </w:p>
        </w:tc>
        <w:tc>
          <w:tcPr>
            <w:tcW w:w="1006" w:type="dxa"/>
            <w:tcBorders/>
            <w:vAlign w:val="center"/>
          </w:tcPr>
          <w:p>
            <w:pPr>
              <w:pStyle w:val="TableContents"/>
              <w:bidi w:val="0"/>
              <w:spacing w:before="0" w:after="283"/>
              <w:jc w:val="left"/>
              <w:rPr/>
            </w:pPr>
            <w:r>
              <w:rPr/>
              <w:t>08/20/2026</w:t>
            </w:r>
          </w:p>
        </w:tc>
        <w:tc>
          <w:tcPr>
            <w:tcW w:w="1201" w:type="dxa"/>
            <w:tcBorders/>
            <w:vAlign w:val="center"/>
          </w:tcPr>
          <w:p>
            <w:pPr>
              <w:pStyle w:val="TableContents"/>
              <w:bidi w:val="0"/>
              <w:spacing w:before="0" w:after="283"/>
              <w:jc w:val="left"/>
              <w:rPr/>
            </w:pPr>
            <w:r>
              <w:rPr/>
              <w:t>VESTING OF OPTIONS</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1066" w:type="dxa"/>
            <w:tcBorders/>
            <w:vAlign w:val="center"/>
          </w:tcPr>
          <w:p>
            <w:pPr>
              <w:pStyle w:val="TableContents"/>
              <w:bidi w:val="0"/>
              <w:spacing w:before="0" w:after="283"/>
              <w:jc w:val="left"/>
              <w:rPr/>
            </w:pPr>
            <w:r>
              <w:rPr/>
              <w:t>08/21/2026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40000</w:t>
            </w:r>
          </w:p>
        </w:tc>
        <w:tc>
          <w:tcPr>
            <w:tcW w:w="1006" w:type="dxa"/>
            <w:tcBorders/>
            <w:vAlign w:val="center"/>
          </w:tcPr>
          <w:p>
            <w:pPr>
              <w:pStyle w:val="TableContents"/>
              <w:bidi w:val="0"/>
              <w:spacing w:before="0" w:after="283"/>
              <w:jc w:val="left"/>
              <w:rPr/>
            </w:pPr>
            <w:r>
              <w:rPr/>
              <w:t>08/21/2026</w:t>
            </w:r>
          </w:p>
        </w:tc>
        <w:tc>
          <w:tcPr>
            <w:tcW w:w="1201" w:type="dxa"/>
            <w:tcBorders/>
            <w:vAlign w:val="center"/>
          </w:tcPr>
          <w:p>
            <w:pPr>
              <w:pStyle w:val="TableContents"/>
              <w:bidi w:val="0"/>
              <w:spacing w:before="0" w:after="283"/>
              <w:jc w:val="left"/>
              <w:rPr/>
            </w:pPr>
            <w:r>
              <w:rPr/>
              <w:t>VESTING OF OPTIONS</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1066" w:type="dxa"/>
            <w:tcBorders/>
            <w:vAlign w:val="center"/>
          </w:tcPr>
          <w:p>
            <w:pPr>
              <w:pStyle w:val="TableContents"/>
              <w:bidi w:val="0"/>
              <w:spacing w:before="0" w:after="283"/>
              <w:jc w:val="left"/>
              <w:rPr/>
            </w:pPr>
            <w:r>
              <w:rPr/>
              <w:t>08/24/2026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40000</w:t>
            </w:r>
          </w:p>
        </w:tc>
        <w:tc>
          <w:tcPr>
            <w:tcW w:w="1006" w:type="dxa"/>
            <w:tcBorders/>
            <w:vAlign w:val="center"/>
          </w:tcPr>
          <w:p>
            <w:pPr>
              <w:pStyle w:val="TableContents"/>
              <w:bidi w:val="0"/>
              <w:spacing w:before="0" w:after="283"/>
              <w:jc w:val="left"/>
              <w:rPr/>
            </w:pPr>
            <w:r>
              <w:rPr/>
              <w:t>08/24/2026</w:t>
            </w:r>
          </w:p>
        </w:tc>
        <w:tc>
          <w:tcPr>
            <w:tcW w:w="1201" w:type="dxa"/>
            <w:tcBorders/>
            <w:vAlign w:val="center"/>
          </w:tcPr>
          <w:p>
            <w:pPr>
              <w:pStyle w:val="TableContents"/>
              <w:bidi w:val="0"/>
              <w:spacing w:before="0" w:after="283"/>
              <w:jc w:val="left"/>
              <w:rPr/>
            </w:pPr>
            <w:r>
              <w:rPr/>
              <w:t>VESTING OF OPTIONS</w:t>
            </w:r>
          </w:p>
        </w:tc>
      </w:tr>
      <w:tr>
        <w:trPr/>
        <w:tc>
          <w:tcPr>
            <w:tcW w:w="1936" w:type="dxa"/>
            <w:tcBorders/>
            <w:vAlign w:val="center"/>
          </w:tcPr>
          <w:p>
            <w:pPr>
              <w:pStyle w:val="TableContents"/>
              <w:bidi w:val="0"/>
              <w:spacing w:before="0" w:after="283"/>
              <w:jc w:val="left"/>
              <w:rPr/>
            </w:pPr>
            <w:r>
              <w:rPr/>
              <w:t>ADS EACH REPRESENTING 1.25 ORDINARY SHARES, SOLD TO COVER COS</w:t>
            </w:r>
          </w:p>
        </w:tc>
        <w:tc>
          <w:tcPr>
            <w:tcW w:w="1066" w:type="dxa"/>
            <w:tcBorders/>
            <w:vAlign w:val="center"/>
          </w:tcPr>
          <w:p>
            <w:pPr>
              <w:pStyle w:val="TableContents"/>
              <w:bidi w:val="0"/>
              <w:spacing w:before="0" w:after="283"/>
              <w:jc w:val="left"/>
              <w:rPr/>
            </w:pPr>
            <w:r>
              <w:rPr/>
              <w:t>08/25/2026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11000</w:t>
            </w:r>
          </w:p>
        </w:tc>
        <w:tc>
          <w:tcPr>
            <w:tcW w:w="1006" w:type="dxa"/>
            <w:tcBorders/>
            <w:vAlign w:val="center"/>
          </w:tcPr>
          <w:p>
            <w:pPr>
              <w:pStyle w:val="TableContents"/>
              <w:bidi w:val="0"/>
              <w:spacing w:before="0" w:after="283"/>
              <w:jc w:val="left"/>
              <w:rPr/>
            </w:pPr>
            <w:r>
              <w:rPr/>
              <w:t>08/25/2026</w:t>
            </w:r>
          </w:p>
        </w:tc>
        <w:tc>
          <w:tcPr>
            <w:tcW w:w="1201" w:type="dxa"/>
            <w:tcBorders/>
            <w:vAlign w:val="center"/>
          </w:tcPr>
          <w:p>
            <w:pPr>
              <w:pStyle w:val="TableContents"/>
              <w:bidi w:val="0"/>
              <w:spacing w:before="0" w:after="283"/>
              <w:jc w:val="left"/>
              <w:rPr/>
            </w:pPr>
            <w:r>
              <w:rPr/>
              <w:t>VESTING OF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92"/>
        <w:gridCol w:w="8713"/>
      </w:tblGrid>
      <w:tr>
        <w:trPr/>
        <w:tc>
          <w:tcPr>
            <w:tcW w:w="1492" w:type="dxa"/>
            <w:tcBorders/>
            <w:vAlign w:val="center"/>
          </w:tcPr>
          <w:p>
            <w:pPr>
              <w:pStyle w:val="TableContents"/>
              <w:bidi w:val="0"/>
              <w:spacing w:before="0" w:after="283"/>
              <w:jc w:val="left"/>
              <w:rPr/>
            </w:pPr>
            <w:r>
              <w:rPr/>
              <w:t>Remarks</w:t>
            </w:r>
          </w:p>
        </w:tc>
        <w:tc>
          <w:tcPr>
            <w:tcW w:w="8713" w:type="dxa"/>
            <w:tcBorders/>
            <w:vAlign w:val="center"/>
          </w:tcPr>
          <w:p>
            <w:pPr>
              <w:pStyle w:val="TableContents"/>
              <w:bidi w:val="0"/>
              <w:spacing w:before="0" w:after="0"/>
              <w:jc w:val="left"/>
              <w:rPr/>
            </w:pPr>
            <w:r>
              <w:rPr/>
              <w:t>The securities set forth herein are being sold pursuant to a sell-to-cover arrangement to satisfy the cost including tax withholding obligations arising in connection with the vesting of the options.</w:t>
            </w:r>
          </w:p>
        </w:tc>
      </w:tr>
      <w:tr>
        <w:trPr/>
        <w:tc>
          <w:tcPr>
            <w:tcW w:w="1492" w:type="dxa"/>
            <w:tcBorders/>
            <w:vAlign w:val="center"/>
          </w:tcPr>
          <w:p>
            <w:pPr>
              <w:pStyle w:val="TableContents"/>
              <w:bidi w:val="0"/>
              <w:spacing w:before="0" w:after="283"/>
              <w:jc w:val="left"/>
              <w:rPr/>
            </w:pPr>
            <w:r>
              <w:rPr/>
              <w:t>Date of Notice</w:t>
            </w:r>
          </w:p>
        </w:tc>
        <w:tc>
          <w:tcPr>
            <w:tcW w:w="8713"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2" w:type="dxa"/>
            <w:tcBorders/>
            <w:vAlign w:val="center"/>
          </w:tcPr>
          <w:p>
            <w:pPr>
              <w:pStyle w:val="TableContents"/>
              <w:bidi w:val="0"/>
              <w:spacing w:before="0" w:after="283"/>
              <w:jc w:val="left"/>
              <w:rPr/>
            </w:pPr>
            <w:r>
              <w:rPr/>
              <w:t>Signature</w:t>
            </w:r>
          </w:p>
        </w:tc>
        <w:tc>
          <w:tcPr>
            <w:tcW w:w="8713" w:type="dxa"/>
            <w:tcBorders/>
            <w:vAlign w:val="center"/>
          </w:tcPr>
          <w:p>
            <w:pPr>
              <w:pStyle w:val="TableContents"/>
              <w:bidi w:val="0"/>
              <w:spacing w:before="0" w:after="0"/>
              <w:jc w:val="left"/>
              <w:rPr/>
            </w:pPr>
            <w:r>
              <w:rPr/>
              <w:t>CHUNFANG GU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4210</Characters>
  <CharactersWithSpaces>4927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